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86270" w14:textId="77777777" w:rsidR="00602C3B" w:rsidRDefault="00000000">
      <w:pPr>
        <w:spacing w:after="293"/>
        <w:ind w:left="-564" w:right="-427"/>
      </w:pPr>
      <w:r>
        <w:rPr>
          <w:noProof/>
        </w:rPr>
        <mc:AlternateContent>
          <mc:Choice Requires="wpg">
            <w:drawing>
              <wp:inline distT="0" distB="0" distL="0" distR="0" wp14:anchorId="32AF8032" wp14:editId="11D5DA41">
                <wp:extent cx="6029135" cy="3657600"/>
                <wp:effectExtent l="0" t="0" r="0" b="0"/>
                <wp:docPr id="8348" name="Group 8348"/>
                <wp:cNvGraphicFramePr/>
                <a:graphic xmlns:a="http://schemas.openxmlformats.org/drawingml/2006/main">
                  <a:graphicData uri="http://schemas.microsoft.com/office/word/2010/wordprocessingGroup">
                    <wpg:wgp>
                      <wpg:cNvGrpSpPr/>
                      <wpg:grpSpPr>
                        <a:xfrm>
                          <a:off x="0" y="0"/>
                          <a:ext cx="6029135" cy="3657600"/>
                          <a:chOff x="0" y="0"/>
                          <a:chExt cx="6029135" cy="3657600"/>
                        </a:xfrm>
                      </wpg:grpSpPr>
                      <wps:wsp>
                        <wps:cNvPr id="11875" name="Shape 11875"/>
                        <wps:cNvSpPr/>
                        <wps:spPr>
                          <a:xfrm>
                            <a:off x="85535" y="0"/>
                            <a:ext cx="5943600" cy="3657600"/>
                          </a:xfrm>
                          <a:custGeom>
                            <a:avLst/>
                            <a:gdLst/>
                            <a:ahLst/>
                            <a:cxnLst/>
                            <a:rect l="0" t="0" r="0" b="0"/>
                            <a:pathLst>
                              <a:path w="5943600" h="3657600">
                                <a:moveTo>
                                  <a:pt x="0" y="0"/>
                                </a:moveTo>
                                <a:lnTo>
                                  <a:pt x="5943600" y="0"/>
                                </a:lnTo>
                                <a:lnTo>
                                  <a:pt x="5943600" y="3657600"/>
                                </a:lnTo>
                                <a:lnTo>
                                  <a:pt x="0" y="3657600"/>
                                </a:lnTo>
                                <a:lnTo>
                                  <a:pt x="0" y="0"/>
                                </a:lnTo>
                              </a:path>
                            </a:pathLst>
                          </a:custGeom>
                          <a:ln w="0" cap="flat">
                            <a:miter lim="127000"/>
                          </a:ln>
                        </wps:spPr>
                        <wps:style>
                          <a:lnRef idx="0">
                            <a:srgbClr val="000000">
                              <a:alpha val="0"/>
                            </a:srgbClr>
                          </a:lnRef>
                          <a:fillRef idx="1">
                            <a:srgbClr val="E0D7D4"/>
                          </a:fillRef>
                          <a:effectRef idx="0">
                            <a:scrgbClr r="0" g="0" b="0"/>
                          </a:effectRef>
                          <a:fontRef idx="none"/>
                        </wps:style>
                        <wps:bodyPr/>
                      </wps:wsp>
                      <pic:pic xmlns:pic="http://schemas.openxmlformats.org/drawingml/2006/picture">
                        <pic:nvPicPr>
                          <pic:cNvPr id="11398" name="Picture 11398"/>
                          <pic:cNvPicPr/>
                        </pic:nvPicPr>
                        <pic:blipFill>
                          <a:blip r:embed="rId7"/>
                          <a:stretch>
                            <a:fillRect/>
                          </a:stretch>
                        </pic:blipFill>
                        <pic:spPr>
                          <a:xfrm>
                            <a:off x="81978" y="-3047"/>
                            <a:ext cx="5946649" cy="3660648"/>
                          </a:xfrm>
                          <a:prstGeom prst="rect">
                            <a:avLst/>
                          </a:prstGeom>
                        </pic:spPr>
                      </pic:pic>
                      <wps:wsp>
                        <wps:cNvPr id="30" name="Rectangle 30"/>
                        <wps:cNvSpPr/>
                        <wps:spPr>
                          <a:xfrm rot="-5399999">
                            <a:off x="-169304" y="3412258"/>
                            <a:ext cx="429792" cy="60892"/>
                          </a:xfrm>
                          <a:prstGeom prst="rect">
                            <a:avLst/>
                          </a:prstGeom>
                          <a:ln>
                            <a:noFill/>
                          </a:ln>
                        </wps:spPr>
                        <wps:txbx>
                          <w:txbxContent>
                            <w:p w14:paraId="7C88220C" w14:textId="77777777" w:rsidR="00602C3B" w:rsidRDefault="00000000">
                              <w:r>
                                <w:rPr>
                                  <w:color w:val="181717"/>
                                  <w:sz w:val="7"/>
                                </w:rPr>
                                <w:t>SHUTTERSTOCK</w:t>
                              </w:r>
                            </w:p>
                          </w:txbxContent>
                        </wps:txbx>
                        <wps:bodyPr horzOverflow="overflow" vert="horz" lIns="0" tIns="0" rIns="0" bIns="0" rtlCol="0">
                          <a:noAutofit/>
                        </wps:bodyPr>
                      </wps:wsp>
                      <wps:wsp>
                        <wps:cNvPr id="31" name="Rectangle 31"/>
                        <wps:cNvSpPr/>
                        <wps:spPr>
                          <a:xfrm rot="-5399999">
                            <a:off x="24999" y="3270887"/>
                            <a:ext cx="36991" cy="86989"/>
                          </a:xfrm>
                          <a:prstGeom prst="rect">
                            <a:avLst/>
                          </a:prstGeom>
                          <a:ln>
                            <a:noFill/>
                          </a:ln>
                        </wps:spPr>
                        <wps:txbx>
                          <w:txbxContent>
                            <w:p w14:paraId="47A79568" w14:textId="77777777" w:rsidR="00602C3B" w:rsidRDefault="00000000">
                              <w:r>
                                <w:rPr>
                                  <w:color w:val="181717"/>
                                  <w:sz w:val="10"/>
                                </w:rPr>
                                <w:t>/</w:t>
                              </w:r>
                            </w:p>
                          </w:txbxContent>
                        </wps:txbx>
                        <wps:bodyPr horzOverflow="overflow" vert="horz" lIns="0" tIns="0" rIns="0" bIns="0" rtlCol="0">
                          <a:noAutofit/>
                        </wps:bodyPr>
                      </wps:wsp>
                      <wps:wsp>
                        <wps:cNvPr id="32" name="Rectangle 32"/>
                        <wps:cNvSpPr/>
                        <wps:spPr>
                          <a:xfrm rot="-5399999">
                            <a:off x="-72734" y="3155994"/>
                            <a:ext cx="236651" cy="60892"/>
                          </a:xfrm>
                          <a:prstGeom prst="rect">
                            <a:avLst/>
                          </a:prstGeom>
                          <a:ln>
                            <a:noFill/>
                          </a:ln>
                        </wps:spPr>
                        <wps:txbx>
                          <w:txbxContent>
                            <w:p w14:paraId="54820A2E" w14:textId="77777777" w:rsidR="00602C3B" w:rsidRDefault="00000000">
                              <w:r>
                                <w:rPr>
                                  <w:color w:val="181717"/>
                                  <w:sz w:val="7"/>
                                </w:rPr>
                                <w:t>EVERETT</w:t>
                              </w:r>
                            </w:p>
                          </w:txbxContent>
                        </wps:txbx>
                        <wps:bodyPr horzOverflow="overflow" vert="horz" lIns="0" tIns="0" rIns="0" bIns="0" rtlCol="0">
                          <a:noAutofit/>
                        </wps:bodyPr>
                      </wps:wsp>
                      <wps:wsp>
                        <wps:cNvPr id="33" name="Rectangle 33"/>
                        <wps:cNvSpPr/>
                        <wps:spPr>
                          <a:xfrm rot="-5399999">
                            <a:off x="31164" y="3073497"/>
                            <a:ext cx="24661" cy="86989"/>
                          </a:xfrm>
                          <a:prstGeom prst="rect">
                            <a:avLst/>
                          </a:prstGeom>
                          <a:ln>
                            <a:noFill/>
                          </a:ln>
                        </wps:spPr>
                        <wps:txbx>
                          <w:txbxContent>
                            <w:p w14:paraId="34AF9F5A" w14:textId="77777777" w:rsidR="00602C3B" w:rsidRDefault="00000000">
                              <w:r>
                                <w:rPr>
                                  <w:color w:val="181717"/>
                                  <w:sz w:val="10"/>
                                </w:rPr>
                                <w:t xml:space="preserve"> </w:t>
                              </w:r>
                            </w:p>
                          </w:txbxContent>
                        </wps:txbx>
                        <wps:bodyPr horzOverflow="overflow" vert="horz" lIns="0" tIns="0" rIns="0" bIns="0" rtlCol="0">
                          <a:noAutofit/>
                        </wps:bodyPr>
                      </wps:wsp>
                      <wps:wsp>
                        <wps:cNvPr id="34" name="Rectangle 34"/>
                        <wps:cNvSpPr/>
                        <wps:spPr>
                          <a:xfrm rot="-5399999">
                            <a:off x="-127596" y="2907145"/>
                            <a:ext cx="346375" cy="60892"/>
                          </a:xfrm>
                          <a:prstGeom prst="rect">
                            <a:avLst/>
                          </a:prstGeom>
                          <a:ln>
                            <a:noFill/>
                          </a:ln>
                        </wps:spPr>
                        <wps:txbx>
                          <w:txbxContent>
                            <w:p w14:paraId="00595581" w14:textId="77777777" w:rsidR="00602C3B" w:rsidRDefault="00000000">
                              <w:r>
                                <w:rPr>
                                  <w:color w:val="181717"/>
                                  <w:sz w:val="7"/>
                                </w:rPr>
                                <w:t>COLLECTION</w:t>
                              </w:r>
                            </w:p>
                          </w:txbxContent>
                        </wps:txbx>
                        <wps:bodyPr horzOverflow="overflow" vert="horz" lIns="0" tIns="0" rIns="0" bIns="0" rtlCol="0">
                          <a:noAutofit/>
                        </wps:bodyPr>
                      </wps:wsp>
                    </wpg:wgp>
                  </a:graphicData>
                </a:graphic>
              </wp:inline>
            </w:drawing>
          </mc:Choice>
          <mc:Fallback xmlns:a="http://schemas.openxmlformats.org/drawingml/2006/main">
            <w:pict>
              <v:group id="Group 8348" style="width:474.735pt;height:288pt;mso-position-horizontal-relative:char;mso-position-vertical-relative:line" coordsize="60291,36576">
                <v:shape id="Shape 11882" style="position:absolute;width:59436;height:36576;left:855;top:0;" coordsize="5943600,3657600" path="m0,0l5943600,0l5943600,3657600l0,3657600l0,0">
                  <v:stroke weight="0pt" endcap="flat" joinstyle="miter" miterlimit="10" on="false" color="#000000" opacity="0"/>
                  <v:fill on="true" color="#e0d7d4"/>
                </v:shape>
                <v:shape id="Picture 11398" style="position:absolute;width:59466;height:36606;left:819;top:-30;" filled="f">
                  <v:imagedata r:id="rId8"/>
                </v:shape>
                <v:rect id="Rectangle 30" style="position:absolute;width:4297;height:608;left:-1693;top:34122;rotation:270;" filled="f" stroked="f">
                  <v:textbox inset="0,0,0,0" style="layout-flow:vertical;mso-layout-flow-alt:bottom-to-top">
                    <w:txbxContent>
                      <w:p>
                        <w:pPr>
                          <w:spacing w:before="0" w:after="160" w:line="259" w:lineRule="auto"/>
                        </w:pPr>
                        <w:r>
                          <w:rPr>
                            <w:rFonts w:cs="Calibri" w:hAnsi="Calibri" w:eastAsia="Calibri" w:ascii="Calibri"/>
                            <w:color w:val="181717"/>
                            <w:sz w:val="7"/>
                          </w:rPr>
                          <w:t xml:space="preserve">SHUTTERSTOCK</w:t>
                        </w:r>
                      </w:p>
                    </w:txbxContent>
                  </v:textbox>
                </v:rect>
                <v:rect id="Rectangle 31" style="position:absolute;width:369;height:869;left:249;top:32708;rotation:270;" filled="f" stroked="f">
                  <v:textbox inset="0,0,0,0" style="layout-flow:vertical;mso-layout-flow-alt:bottom-to-top">
                    <w:txbxContent>
                      <w:p>
                        <w:pPr>
                          <w:spacing w:before="0" w:after="160" w:line="259" w:lineRule="auto"/>
                        </w:pPr>
                        <w:r>
                          <w:rPr>
                            <w:rFonts w:cs="Calibri" w:hAnsi="Calibri" w:eastAsia="Calibri" w:ascii="Calibri"/>
                            <w:color w:val="181717"/>
                            <w:sz w:val="10"/>
                          </w:rPr>
                          <w:t xml:space="preserve">/</w:t>
                        </w:r>
                      </w:p>
                    </w:txbxContent>
                  </v:textbox>
                </v:rect>
                <v:rect id="Rectangle 32" style="position:absolute;width:2366;height:608;left:-727;top:31559;rotation:270;" filled="f" stroked="f">
                  <v:textbox inset="0,0,0,0" style="layout-flow:vertical;mso-layout-flow-alt:bottom-to-top">
                    <w:txbxContent>
                      <w:p>
                        <w:pPr>
                          <w:spacing w:before="0" w:after="160" w:line="259" w:lineRule="auto"/>
                        </w:pPr>
                        <w:r>
                          <w:rPr>
                            <w:rFonts w:cs="Calibri" w:hAnsi="Calibri" w:eastAsia="Calibri" w:ascii="Calibri"/>
                            <w:color w:val="181717"/>
                            <w:sz w:val="7"/>
                          </w:rPr>
                          <w:t xml:space="preserve">EVERETT</w:t>
                        </w:r>
                      </w:p>
                    </w:txbxContent>
                  </v:textbox>
                </v:rect>
                <v:rect id="Rectangle 33" style="position:absolute;width:246;height:869;left:311;top:30734;rotation:270;" filled="f" stroked="f">
                  <v:textbox inset="0,0,0,0" style="layout-flow:vertical;mso-layout-flow-alt:bottom-to-top">
                    <w:txbxContent>
                      <w:p>
                        <w:pPr>
                          <w:spacing w:before="0" w:after="160" w:line="259" w:lineRule="auto"/>
                        </w:pPr>
                        <w:r>
                          <w:rPr>
                            <w:rFonts w:cs="Calibri" w:hAnsi="Calibri" w:eastAsia="Calibri" w:ascii="Calibri"/>
                            <w:color w:val="181717"/>
                            <w:sz w:val="10"/>
                          </w:rPr>
                          <w:t xml:space="preserve"> </w:t>
                        </w:r>
                      </w:p>
                    </w:txbxContent>
                  </v:textbox>
                </v:rect>
                <v:rect id="Rectangle 34" style="position:absolute;width:3463;height:608;left:-1275;top:29071;rotation:270;" filled="f" stroked="f">
                  <v:textbox inset="0,0,0,0" style="layout-flow:vertical;mso-layout-flow-alt:bottom-to-top">
                    <w:txbxContent>
                      <w:p>
                        <w:pPr>
                          <w:spacing w:before="0" w:after="160" w:line="259" w:lineRule="auto"/>
                        </w:pPr>
                        <w:r>
                          <w:rPr>
                            <w:rFonts w:cs="Calibri" w:hAnsi="Calibri" w:eastAsia="Calibri" w:ascii="Calibri"/>
                            <w:color w:val="181717"/>
                            <w:sz w:val="7"/>
                          </w:rPr>
                          <w:t xml:space="preserve">COLLECTION</w:t>
                        </w:r>
                      </w:p>
                    </w:txbxContent>
                  </v:textbox>
                </v:rect>
              </v:group>
            </w:pict>
          </mc:Fallback>
        </mc:AlternateContent>
      </w:r>
    </w:p>
    <w:p w14:paraId="78452FB6" w14:textId="77777777" w:rsidR="00602C3B" w:rsidRDefault="00000000">
      <w:pPr>
        <w:spacing w:after="0" w:line="216" w:lineRule="auto"/>
        <w:ind w:firstLine="830"/>
      </w:pPr>
      <w:r>
        <w:rPr>
          <w:color w:val="8E96A5"/>
          <w:sz w:val="80"/>
        </w:rPr>
        <w:t xml:space="preserve">Assessing pain—the invisible, long-haul polio </w:t>
      </w:r>
    </w:p>
    <w:p w14:paraId="11444ED5" w14:textId="77777777" w:rsidR="00602C3B" w:rsidRDefault="00000000">
      <w:pPr>
        <w:spacing w:after="0"/>
        <w:ind w:right="3"/>
        <w:jc w:val="center"/>
      </w:pPr>
      <w:r>
        <w:rPr>
          <w:color w:val="8E96A5"/>
          <w:sz w:val="80"/>
        </w:rPr>
        <w:t>symptom</w:t>
      </w:r>
    </w:p>
    <w:p w14:paraId="049102A5" w14:textId="77777777" w:rsidR="00602C3B" w:rsidRDefault="00000000">
      <w:pPr>
        <w:spacing w:after="221" w:line="265" w:lineRule="auto"/>
        <w:ind w:left="1852" w:right="32" w:hanging="10"/>
      </w:pPr>
      <w:r>
        <w:rPr>
          <w:color w:val="181717"/>
          <w:sz w:val="16"/>
        </w:rPr>
        <w:t>BY KAREN B. TETZ, PhD, RN, AND SUSAN L. SCHOENBECK, MSN, RN</w:t>
      </w:r>
    </w:p>
    <w:p w14:paraId="4A1F2F6F" w14:textId="77777777" w:rsidR="00602C3B" w:rsidRDefault="00602C3B">
      <w:pPr>
        <w:sectPr w:rsidR="00602C3B">
          <w:footerReference w:type="even" r:id="rId9"/>
          <w:footerReference w:type="default" r:id="rId10"/>
          <w:footerReference w:type="first" r:id="rId11"/>
          <w:pgSz w:w="11448" w:h="15408"/>
          <w:pgMar w:top="1584" w:right="1471" w:bottom="579" w:left="1473" w:header="720" w:footer="144" w:gutter="0"/>
          <w:pgNumType w:start="42"/>
          <w:cols w:space="720"/>
        </w:sectPr>
      </w:pPr>
    </w:p>
    <w:p w14:paraId="296B97B5" w14:textId="77777777" w:rsidR="00602C3B" w:rsidRDefault="00000000">
      <w:pPr>
        <w:spacing w:after="221" w:line="265" w:lineRule="auto"/>
        <w:ind w:left="-4" w:right="32" w:hanging="10"/>
      </w:pPr>
      <w:r>
        <w:rPr>
          <w:b/>
          <w:color w:val="181717"/>
          <w:sz w:val="16"/>
        </w:rPr>
        <w:t>Abstract:</w:t>
      </w:r>
      <w:r>
        <w:rPr>
          <w:color w:val="181717"/>
          <w:sz w:val="16"/>
        </w:rPr>
        <w:t xml:space="preserve"> Chronic pain is a </w:t>
      </w:r>
      <w:proofErr w:type="gramStart"/>
      <w:r>
        <w:rPr>
          <w:color w:val="181717"/>
          <w:sz w:val="16"/>
        </w:rPr>
        <w:t>common  problem</w:t>
      </w:r>
      <w:proofErr w:type="gramEnd"/>
      <w:r>
        <w:rPr>
          <w:color w:val="181717"/>
          <w:sz w:val="16"/>
        </w:rPr>
        <w:t xml:space="preserve"> for polio survivors. Nurses are on the front line to assess the scope, severity, and impact of reported pain. This article </w:t>
      </w:r>
      <w:proofErr w:type="gramStart"/>
      <w:r>
        <w:rPr>
          <w:color w:val="181717"/>
          <w:sz w:val="16"/>
        </w:rPr>
        <w:t>describes  how</w:t>
      </w:r>
      <w:proofErr w:type="gramEnd"/>
      <w:r>
        <w:rPr>
          <w:color w:val="181717"/>
          <w:sz w:val="16"/>
        </w:rPr>
        <w:t xml:space="preserve"> nurses can advocate for patients experiencing post-polio syndrome pain.</w:t>
      </w:r>
    </w:p>
    <w:p w14:paraId="1FA7C130" w14:textId="77777777" w:rsidR="00602C3B" w:rsidRDefault="00000000">
      <w:pPr>
        <w:spacing w:after="221" w:line="265" w:lineRule="auto"/>
        <w:ind w:left="-4" w:right="32" w:hanging="10"/>
      </w:pPr>
      <w:r>
        <w:rPr>
          <w:b/>
          <w:color w:val="181717"/>
          <w:sz w:val="16"/>
        </w:rPr>
        <w:t xml:space="preserve">Keywords: </w:t>
      </w:r>
      <w:r>
        <w:rPr>
          <w:color w:val="181717"/>
          <w:sz w:val="16"/>
        </w:rPr>
        <w:t xml:space="preserve">chronic pain, </w:t>
      </w:r>
      <w:proofErr w:type="gramStart"/>
      <w:r>
        <w:rPr>
          <w:color w:val="181717"/>
          <w:sz w:val="16"/>
        </w:rPr>
        <w:t>mnemonic,  OLDCART</w:t>
      </w:r>
      <w:proofErr w:type="gramEnd"/>
      <w:r>
        <w:rPr>
          <w:color w:val="181717"/>
          <w:sz w:val="16"/>
        </w:rPr>
        <w:t xml:space="preserve">, pain assessment, polio,  poliomyelitis, </w:t>
      </w:r>
      <w:proofErr w:type="spellStart"/>
      <w:r>
        <w:rPr>
          <w:color w:val="181717"/>
          <w:sz w:val="16"/>
        </w:rPr>
        <w:t>postpolio</w:t>
      </w:r>
      <w:proofErr w:type="spellEnd"/>
      <w:r>
        <w:rPr>
          <w:color w:val="181717"/>
          <w:sz w:val="16"/>
        </w:rPr>
        <w:t xml:space="preserve"> syndrome, PPS</w:t>
      </w:r>
    </w:p>
    <w:p w14:paraId="01AB1E64" w14:textId="77777777" w:rsidR="00602C3B" w:rsidRDefault="00000000">
      <w:pPr>
        <w:spacing w:after="36" w:line="250" w:lineRule="auto"/>
        <w:ind w:left="-15" w:right="4"/>
      </w:pPr>
      <w:r>
        <w:rPr>
          <w:rFonts w:ascii="Times New Roman" w:eastAsia="Times New Roman" w:hAnsi="Times New Roman" w:cs="Times New Roman"/>
          <w:color w:val="181717"/>
          <w:sz w:val="20"/>
        </w:rPr>
        <w:t xml:space="preserve">At the beginning of the 20th century, poliomyelitis, often referred to as polio, epidemics swept across the world. New York </w:t>
      </w:r>
      <w:r>
        <w:rPr>
          <w:rFonts w:ascii="Times New Roman" w:eastAsia="Times New Roman" w:hAnsi="Times New Roman" w:cs="Times New Roman"/>
          <w:color w:val="181717"/>
          <w:sz w:val="20"/>
        </w:rPr>
        <w:t>State had its first epidemic in 1916, in which 27,000 people were paralyzed, and 6,000 died; 80% of the victims were children.</w:t>
      </w:r>
      <w:r>
        <w:rPr>
          <w:rFonts w:ascii="Times New Roman" w:eastAsia="Times New Roman" w:hAnsi="Times New Roman" w:cs="Times New Roman"/>
          <w:color w:val="181717"/>
          <w:sz w:val="20"/>
          <w:vertAlign w:val="superscript"/>
        </w:rPr>
        <w:t>1,2</w:t>
      </w:r>
      <w:r>
        <w:rPr>
          <w:rFonts w:ascii="Times New Roman" w:eastAsia="Times New Roman" w:hAnsi="Times New Roman" w:cs="Times New Roman"/>
          <w:color w:val="181717"/>
          <w:sz w:val="20"/>
        </w:rPr>
        <w:t xml:space="preserve"> Some victims were mildly symptomatic with gastrointestinal upset, fever, sore throat, and chills, while others developed paralysis and respiratory failure, requiring mechanical ventilation.</w:t>
      </w:r>
      <w:r>
        <w:rPr>
          <w:rFonts w:ascii="Times New Roman" w:eastAsia="Times New Roman" w:hAnsi="Times New Roman" w:cs="Times New Roman"/>
          <w:color w:val="181717"/>
          <w:sz w:val="20"/>
          <w:vertAlign w:val="superscript"/>
        </w:rPr>
        <w:t>3</w:t>
      </w:r>
      <w:r>
        <w:rPr>
          <w:rFonts w:ascii="Times New Roman" w:eastAsia="Times New Roman" w:hAnsi="Times New Roman" w:cs="Times New Roman"/>
          <w:color w:val="181717"/>
          <w:sz w:val="20"/>
        </w:rPr>
        <w:t xml:space="preserve"> Polio cases doubled in the US between 1940 </w:t>
      </w:r>
    </w:p>
    <w:p w14:paraId="1CB98E8A" w14:textId="77777777" w:rsidR="00602C3B" w:rsidRDefault="00000000">
      <w:pPr>
        <w:spacing w:after="68" w:line="250" w:lineRule="auto"/>
        <w:ind w:left="-15" w:right="4"/>
      </w:pPr>
      <w:r>
        <w:rPr>
          <w:rFonts w:ascii="Times New Roman" w:eastAsia="Times New Roman" w:hAnsi="Times New Roman" w:cs="Times New Roman"/>
          <w:color w:val="181717"/>
          <w:sz w:val="20"/>
        </w:rPr>
        <w:t>and 1944 and again between 1945 and 1949.</w:t>
      </w:r>
      <w:r>
        <w:rPr>
          <w:rFonts w:ascii="Times New Roman" w:eastAsia="Times New Roman" w:hAnsi="Times New Roman" w:cs="Times New Roman"/>
          <w:color w:val="181717"/>
          <w:sz w:val="20"/>
          <w:vertAlign w:val="superscript"/>
        </w:rPr>
        <w:t>1,2</w:t>
      </w:r>
    </w:p>
    <w:p w14:paraId="159DFE0F"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Following the introduction of poliovirus vaccines in 1955, no cases of polio caused by naturally occurring wild-type paralytic poliomyelitis have originated in the US since 1979.</w:t>
      </w:r>
      <w:r>
        <w:rPr>
          <w:rFonts w:ascii="Times New Roman" w:eastAsia="Times New Roman" w:hAnsi="Times New Roman" w:cs="Times New Roman"/>
          <w:color w:val="181717"/>
          <w:sz w:val="20"/>
          <w:vertAlign w:val="superscript"/>
        </w:rPr>
        <w:t>3</w:t>
      </w:r>
      <w:r>
        <w:rPr>
          <w:rFonts w:ascii="Times New Roman" w:eastAsia="Times New Roman" w:hAnsi="Times New Roman" w:cs="Times New Roman"/>
          <w:color w:val="181717"/>
          <w:sz w:val="20"/>
        </w:rPr>
        <w:t xml:space="preserve"> In July 2022, the CDC was notified of a case of paralytic poliomyelitis in an unvaccinated immunocompetent adult resident of Rockland County, N.Y. Investigations suggested transmission within the US from a person who received an oral polio vaccine abroad.</w:t>
      </w:r>
      <w:r>
        <w:rPr>
          <w:rFonts w:ascii="Times New Roman" w:eastAsia="Times New Roman" w:hAnsi="Times New Roman" w:cs="Times New Roman"/>
          <w:color w:val="181717"/>
          <w:sz w:val="20"/>
          <w:vertAlign w:val="superscript"/>
        </w:rPr>
        <w:t xml:space="preserve">4,5 </w:t>
      </w:r>
      <w:r>
        <w:rPr>
          <w:rFonts w:ascii="Times New Roman" w:eastAsia="Times New Roman" w:hAnsi="Times New Roman" w:cs="Times New Roman"/>
          <w:color w:val="181717"/>
          <w:sz w:val="20"/>
        </w:rPr>
        <w:t xml:space="preserve">Poliomyelitis is an infectious disease caused and </w:t>
      </w:r>
      <w:r>
        <w:rPr>
          <w:rFonts w:ascii="Times New Roman" w:eastAsia="Times New Roman" w:hAnsi="Times New Roman" w:cs="Times New Roman"/>
          <w:color w:val="181717"/>
          <w:sz w:val="20"/>
        </w:rPr>
        <w:lastRenderedPageBreak/>
        <w:t>transmitted by a virus only found in humans and is spread through contact with fecal waste. The virus enters the body via the mouth, travels down the digestive tract, and is excreted in the stool. Rarely, droplets from a cough or sneeze may transmit the virus.</w:t>
      </w:r>
      <w:r>
        <w:rPr>
          <w:rFonts w:ascii="Times New Roman" w:eastAsia="Times New Roman" w:hAnsi="Times New Roman" w:cs="Times New Roman"/>
          <w:color w:val="181717"/>
          <w:sz w:val="20"/>
          <w:vertAlign w:val="superscript"/>
        </w:rPr>
        <w:t>6</w:t>
      </w:r>
    </w:p>
    <w:p w14:paraId="69283939"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The polio virus can induce paralysis of the arms and legs. This is called spinal polio and comprises the most cases (79%). The polio virus may also attack the brainstem and affect respiration (bulbar polio) in 2% of cases. In about 19% cases of paralytic polio, the polio virus spreads within the spinal cord and brain referred to as meningitis.</w:t>
      </w:r>
      <w:r>
        <w:rPr>
          <w:rFonts w:ascii="Times New Roman" w:eastAsia="Times New Roman" w:hAnsi="Times New Roman" w:cs="Times New Roman"/>
          <w:color w:val="181717"/>
          <w:sz w:val="20"/>
          <w:vertAlign w:val="superscript"/>
        </w:rPr>
        <w:t>6</w:t>
      </w:r>
    </w:p>
    <w:p w14:paraId="47282D41"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Clinical manifestations vary widely between patients. Most infections do not progress beyond what would be considered mild influenza-like symptoms. Between 1% and 5% of cases lead to nonparalytic meningitis in which the patient has stiff limbs. One in 500 infections results in difficulty breathing and paralysis of limbs. Muscles in paralyzed limbs atrophy over time causing deformities.</w:t>
      </w:r>
      <w:r>
        <w:rPr>
          <w:rFonts w:ascii="Times New Roman" w:eastAsia="Times New Roman" w:hAnsi="Times New Roman" w:cs="Times New Roman"/>
          <w:color w:val="181717"/>
          <w:sz w:val="20"/>
          <w:vertAlign w:val="superscript"/>
        </w:rPr>
        <w:t>6</w:t>
      </w:r>
    </w:p>
    <w:p w14:paraId="6B5CDF84"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The initial diagnosis of polio is made by assessing presenting signs and symptoms, such as neck and back stiffness, limb weakness, abnormal reflexes, and difficulty breathing and swallowing. History of vaccination and recent travel is reviewed at this time. Imaging studies may include MRI of the spinal cord. The diagnosis of polio can be confirmed by virus isolation from stool or cerebrospinal fluid.</w:t>
      </w:r>
      <w:r>
        <w:rPr>
          <w:rFonts w:ascii="Times New Roman" w:eastAsia="Times New Roman" w:hAnsi="Times New Roman" w:cs="Times New Roman"/>
          <w:color w:val="181717"/>
          <w:sz w:val="20"/>
          <w:vertAlign w:val="superscript"/>
        </w:rPr>
        <w:t>6</w:t>
      </w:r>
    </w:p>
    <w:p w14:paraId="64F7C10A" w14:textId="77777777" w:rsidR="00602C3B" w:rsidRDefault="00000000">
      <w:pPr>
        <w:spacing w:after="239" w:line="250" w:lineRule="auto"/>
        <w:ind w:left="-15" w:right="4" w:firstLine="192"/>
      </w:pPr>
      <w:r>
        <w:rPr>
          <w:rFonts w:ascii="Times New Roman" w:eastAsia="Times New Roman" w:hAnsi="Times New Roman" w:cs="Times New Roman"/>
          <w:color w:val="181717"/>
          <w:sz w:val="20"/>
        </w:rPr>
        <w:t>According to the CDC, there is no cure nor any specific treatment for paralytic polio.</w:t>
      </w:r>
      <w:r>
        <w:rPr>
          <w:rFonts w:ascii="Times New Roman" w:eastAsia="Times New Roman" w:hAnsi="Times New Roman" w:cs="Times New Roman"/>
          <w:color w:val="181717"/>
          <w:sz w:val="20"/>
          <w:vertAlign w:val="superscript"/>
        </w:rPr>
        <w:t>6</w:t>
      </w:r>
      <w:r>
        <w:rPr>
          <w:rFonts w:ascii="Times New Roman" w:eastAsia="Times New Roman" w:hAnsi="Times New Roman" w:cs="Times New Roman"/>
          <w:color w:val="181717"/>
          <w:sz w:val="20"/>
        </w:rPr>
        <w:t xml:space="preserve"> Treatment for patients with polio varies with their signs and symptoms. In the past, patients with paralyzed muscles of respiration spent 1 to 2 weeks in an iron lung, a negative pressure ventilator, before they could breathe on their own. For some, the </w:t>
      </w:r>
      <w:r>
        <w:rPr>
          <w:rFonts w:ascii="Times New Roman" w:eastAsia="Times New Roman" w:hAnsi="Times New Roman" w:cs="Times New Roman"/>
          <w:color w:val="181717"/>
          <w:sz w:val="20"/>
        </w:rPr>
        <w:t xml:space="preserve">paralysis </w:t>
      </w:r>
      <w:proofErr w:type="gramStart"/>
      <w:r>
        <w:rPr>
          <w:rFonts w:ascii="Times New Roman" w:eastAsia="Times New Roman" w:hAnsi="Times New Roman" w:cs="Times New Roman"/>
          <w:color w:val="181717"/>
          <w:sz w:val="20"/>
        </w:rPr>
        <w:t>remained</w:t>
      </w:r>
      <w:proofErr w:type="gramEnd"/>
      <w:r>
        <w:rPr>
          <w:rFonts w:ascii="Times New Roman" w:eastAsia="Times New Roman" w:hAnsi="Times New Roman" w:cs="Times New Roman"/>
          <w:color w:val="181717"/>
          <w:sz w:val="20"/>
        </w:rPr>
        <w:t xml:space="preserve"> and they lived inside the </w:t>
      </w:r>
    </w:p>
    <w:p w14:paraId="0FB580AA" w14:textId="77777777" w:rsidR="00602C3B" w:rsidRDefault="00000000">
      <w:pPr>
        <w:spacing w:after="80"/>
        <w:ind w:left="11" w:hanging="10"/>
      </w:pPr>
      <w:r>
        <w:rPr>
          <w:color w:val="181717"/>
          <w:sz w:val="14"/>
        </w:rPr>
        <w:t xml:space="preserve">www.Nursing2023.com </w:t>
      </w:r>
    </w:p>
    <w:p w14:paraId="4115C00A" w14:textId="77777777" w:rsidR="00602C3B" w:rsidRDefault="00000000">
      <w:pPr>
        <w:spacing w:after="9" w:line="250" w:lineRule="auto"/>
        <w:ind w:left="-15" w:right="4"/>
      </w:pPr>
      <w:r>
        <w:rPr>
          <w:rFonts w:ascii="Times New Roman" w:eastAsia="Times New Roman" w:hAnsi="Times New Roman" w:cs="Times New Roman"/>
          <w:color w:val="181717"/>
          <w:sz w:val="20"/>
        </w:rPr>
        <w:t>iron lung for years.</w:t>
      </w:r>
      <w:r>
        <w:rPr>
          <w:rFonts w:ascii="Times New Roman" w:eastAsia="Times New Roman" w:hAnsi="Times New Roman" w:cs="Times New Roman"/>
          <w:color w:val="181717"/>
          <w:sz w:val="20"/>
          <w:vertAlign w:val="superscript"/>
        </w:rPr>
        <w:t>7</w:t>
      </w:r>
      <w:r>
        <w:rPr>
          <w:rFonts w:ascii="Times New Roman" w:eastAsia="Times New Roman" w:hAnsi="Times New Roman" w:cs="Times New Roman"/>
          <w:color w:val="181717"/>
          <w:sz w:val="20"/>
        </w:rPr>
        <w:t xml:space="preserve"> Today, patients with respiratory failure will require mechanical ventilation.</w:t>
      </w:r>
    </w:p>
    <w:p w14:paraId="7A752801" w14:textId="77777777" w:rsidR="00602C3B" w:rsidRDefault="00000000">
      <w:pPr>
        <w:spacing w:after="74" w:line="250" w:lineRule="auto"/>
        <w:ind w:left="-15" w:right="4" w:firstLine="192"/>
      </w:pPr>
      <w:r>
        <w:rPr>
          <w:rFonts w:ascii="Times New Roman" w:eastAsia="Times New Roman" w:hAnsi="Times New Roman" w:cs="Times New Roman"/>
          <w:color w:val="181717"/>
          <w:sz w:val="20"/>
        </w:rPr>
        <w:t>Supportive treatment measures include the application of warm, moist compresses to ease painful muscle spasms and passive range of motion to affected limbs in hope of regaining muscle strength. Splinting and braces along with the use of crutches and canes were common means of providing lower-extremity support.</w:t>
      </w:r>
      <w:r>
        <w:rPr>
          <w:rFonts w:ascii="Times New Roman" w:eastAsia="Times New Roman" w:hAnsi="Times New Roman" w:cs="Times New Roman"/>
          <w:color w:val="181717"/>
          <w:sz w:val="13"/>
        </w:rPr>
        <w:t>6,8,9</w:t>
      </w:r>
    </w:p>
    <w:p w14:paraId="7B8CAF89"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Today, the heavy steel and leather braces of old have been replaced by light-weight plastic molded braces to stabilize the lower extremities and prevent foot drop. Forearm crutches can address common upper body stresses when a polio survivor overuses crutches or canes. Orthotic shoe lifts and cushioning aid in balancing leg length and foot size discrepancies. Total knee and hip replacements address overused, weakened lower extremities.</w:t>
      </w:r>
      <w:r>
        <w:rPr>
          <w:rFonts w:ascii="Times New Roman" w:eastAsia="Times New Roman" w:hAnsi="Times New Roman" w:cs="Times New Roman"/>
          <w:color w:val="181717"/>
          <w:sz w:val="20"/>
          <w:vertAlign w:val="superscript"/>
        </w:rPr>
        <w:t>10-15</w:t>
      </w:r>
    </w:p>
    <w:p w14:paraId="5F3720AA"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There is no cure for polio, but it can be prevented with safe and effective vaccination. Inactivated poliovirus vaccine (IPV) given by I.M. injection is the only poliovirus vaccine that has been given in the US since 2000. It does not cause vaccine- associated paralytic poliomyelitis (VAPP) and can be combined with other routine childhood vaccines. Two doses of IPV are 90% effective or more against paralytic polio; three doses are 99% to 100% effective.</w:t>
      </w:r>
      <w:r>
        <w:rPr>
          <w:rFonts w:ascii="Times New Roman" w:eastAsia="Times New Roman" w:hAnsi="Times New Roman" w:cs="Times New Roman"/>
          <w:color w:val="181717"/>
          <w:sz w:val="20"/>
          <w:vertAlign w:val="superscript"/>
        </w:rPr>
        <w:t>16</w:t>
      </w:r>
    </w:p>
    <w:p w14:paraId="60ED0A60" w14:textId="77777777" w:rsidR="00602C3B" w:rsidRDefault="00000000">
      <w:pPr>
        <w:spacing w:after="275" w:line="250" w:lineRule="auto"/>
        <w:ind w:left="-15" w:right="4" w:firstLine="192"/>
      </w:pPr>
      <w:r>
        <w:rPr>
          <w:rFonts w:ascii="Times New Roman" w:eastAsia="Times New Roman" w:hAnsi="Times New Roman" w:cs="Times New Roman"/>
          <w:color w:val="181717"/>
          <w:sz w:val="20"/>
        </w:rPr>
        <w:t>Live attenuated oral poliovirus vaccine (OPV) is the preferred vaccine for developing countries. Advantages of the OPV include cost and ease of administration. OPV has been associated with rare cases of VAPP in vaccine recipients and their contacts.</w:t>
      </w:r>
      <w:r>
        <w:rPr>
          <w:rFonts w:ascii="Times New Roman" w:eastAsia="Times New Roman" w:hAnsi="Times New Roman" w:cs="Times New Roman"/>
          <w:color w:val="181717"/>
          <w:sz w:val="20"/>
          <w:vertAlign w:val="superscript"/>
        </w:rPr>
        <w:t>1</w:t>
      </w:r>
    </w:p>
    <w:p w14:paraId="00B3DEF1" w14:textId="77777777" w:rsidR="00602C3B" w:rsidRDefault="00000000">
      <w:pPr>
        <w:spacing w:after="0"/>
        <w:ind w:left="-5" w:hanging="10"/>
      </w:pPr>
      <w:proofErr w:type="spellStart"/>
      <w:r>
        <w:rPr>
          <w:b/>
          <w:color w:val="181717"/>
          <w:sz w:val="20"/>
        </w:rPr>
        <w:t>Postpolio</w:t>
      </w:r>
      <w:proofErr w:type="spellEnd"/>
      <w:r>
        <w:rPr>
          <w:b/>
          <w:color w:val="181717"/>
          <w:sz w:val="20"/>
        </w:rPr>
        <w:t xml:space="preserve"> syndrome</w:t>
      </w:r>
    </w:p>
    <w:p w14:paraId="0F7C83C5" w14:textId="77777777" w:rsidR="00602C3B" w:rsidRDefault="00000000">
      <w:pPr>
        <w:spacing w:after="36" w:line="250" w:lineRule="auto"/>
        <w:ind w:left="-15" w:right="4"/>
      </w:pPr>
      <w:r>
        <w:rPr>
          <w:rFonts w:ascii="Times New Roman" w:eastAsia="Times New Roman" w:hAnsi="Times New Roman" w:cs="Times New Roman"/>
          <w:color w:val="181717"/>
          <w:sz w:val="20"/>
        </w:rPr>
        <w:t>There are over 12 million polio survivors worldwide. Over 300,000 live in the US.</w:t>
      </w:r>
      <w:r>
        <w:rPr>
          <w:rFonts w:ascii="Times New Roman" w:eastAsia="Times New Roman" w:hAnsi="Times New Roman" w:cs="Times New Roman"/>
          <w:color w:val="181717"/>
          <w:sz w:val="20"/>
          <w:vertAlign w:val="superscript"/>
        </w:rPr>
        <w:t>17</w:t>
      </w:r>
    </w:p>
    <w:p w14:paraId="36D7C33B"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Physicians and advanced practice clinicians (APCs) specialized in treat-</w:t>
      </w:r>
    </w:p>
    <w:tbl>
      <w:tblPr>
        <w:tblStyle w:val="TableGrid"/>
        <w:tblW w:w="2960" w:type="dxa"/>
        <w:tblInd w:w="0" w:type="dxa"/>
        <w:tblCellMar>
          <w:top w:w="119" w:type="dxa"/>
          <w:left w:w="120" w:type="dxa"/>
          <w:bottom w:w="0" w:type="dxa"/>
          <w:right w:w="115" w:type="dxa"/>
        </w:tblCellMar>
        <w:tblLook w:val="04A0" w:firstRow="1" w:lastRow="0" w:firstColumn="1" w:lastColumn="0" w:noHBand="0" w:noVBand="1"/>
      </w:tblPr>
      <w:tblGrid>
        <w:gridCol w:w="2960"/>
      </w:tblGrid>
      <w:tr w:rsidR="00602C3B" w14:paraId="36BF0715" w14:textId="77777777">
        <w:trPr>
          <w:trHeight w:val="4366"/>
        </w:trPr>
        <w:tc>
          <w:tcPr>
            <w:tcW w:w="2960" w:type="dxa"/>
            <w:tcBorders>
              <w:top w:val="nil"/>
              <w:left w:val="nil"/>
              <w:bottom w:val="nil"/>
              <w:right w:val="nil"/>
            </w:tcBorders>
            <w:shd w:val="clear" w:color="auto" w:fill="E6E6E9"/>
          </w:tcPr>
          <w:p w14:paraId="0E69894A" w14:textId="77777777" w:rsidR="00602C3B" w:rsidRDefault="00000000">
            <w:pPr>
              <w:spacing w:after="137" w:line="216" w:lineRule="auto"/>
              <w:ind w:right="504"/>
            </w:pPr>
            <w:r>
              <w:rPr>
                <w:b/>
                <w:color w:val="181717"/>
                <w:sz w:val="26"/>
              </w:rPr>
              <w:t>Clinical manifestations of PPS</w:t>
            </w:r>
            <w:r>
              <w:rPr>
                <w:b/>
                <w:color w:val="181717"/>
                <w:sz w:val="26"/>
                <w:vertAlign w:val="superscript"/>
              </w:rPr>
              <w:t>19-22</w:t>
            </w:r>
          </w:p>
          <w:p w14:paraId="01C48566" w14:textId="77777777" w:rsidR="00602C3B" w:rsidRDefault="00000000">
            <w:pPr>
              <w:spacing w:after="57"/>
            </w:pPr>
            <w:r>
              <w:rPr>
                <w:b/>
                <w:color w:val="181717"/>
                <w:sz w:val="16"/>
              </w:rPr>
              <w:t>Most common symptoms:</w:t>
            </w:r>
          </w:p>
          <w:p w14:paraId="6B3E3F4B" w14:textId="77777777" w:rsidR="00602C3B" w:rsidRDefault="00000000">
            <w:pPr>
              <w:numPr>
                <w:ilvl w:val="0"/>
                <w:numId w:val="2"/>
              </w:numPr>
              <w:spacing w:after="46"/>
              <w:ind w:hanging="152"/>
            </w:pPr>
            <w:r>
              <w:rPr>
                <w:color w:val="181717"/>
                <w:sz w:val="16"/>
              </w:rPr>
              <w:t>Fatigue</w:t>
            </w:r>
          </w:p>
          <w:p w14:paraId="4E0F04A7" w14:textId="77777777" w:rsidR="00602C3B" w:rsidRDefault="00000000">
            <w:pPr>
              <w:numPr>
                <w:ilvl w:val="0"/>
                <w:numId w:val="2"/>
              </w:numPr>
              <w:spacing w:after="41"/>
              <w:ind w:hanging="152"/>
            </w:pPr>
            <w:r>
              <w:rPr>
                <w:color w:val="181717"/>
                <w:sz w:val="16"/>
              </w:rPr>
              <w:t>New weakness</w:t>
            </w:r>
          </w:p>
          <w:p w14:paraId="31325482" w14:textId="77777777" w:rsidR="00602C3B" w:rsidRDefault="00000000">
            <w:pPr>
              <w:numPr>
                <w:ilvl w:val="0"/>
                <w:numId w:val="2"/>
              </w:numPr>
              <w:spacing w:after="115"/>
              <w:ind w:hanging="152"/>
            </w:pPr>
            <w:r>
              <w:rPr>
                <w:color w:val="181717"/>
                <w:sz w:val="16"/>
              </w:rPr>
              <w:t>Pain</w:t>
            </w:r>
          </w:p>
          <w:p w14:paraId="72E0D0E5" w14:textId="77777777" w:rsidR="00602C3B" w:rsidRDefault="00000000">
            <w:pPr>
              <w:spacing w:after="61"/>
            </w:pPr>
            <w:r>
              <w:rPr>
                <w:b/>
                <w:color w:val="181717"/>
                <w:sz w:val="16"/>
              </w:rPr>
              <w:t>Less common signs and symptoms:</w:t>
            </w:r>
          </w:p>
          <w:p w14:paraId="35BAE0F2" w14:textId="77777777" w:rsidR="00602C3B" w:rsidRDefault="00000000">
            <w:pPr>
              <w:numPr>
                <w:ilvl w:val="0"/>
                <w:numId w:val="2"/>
              </w:numPr>
              <w:spacing w:after="48"/>
              <w:ind w:hanging="152"/>
            </w:pPr>
            <w:r>
              <w:rPr>
                <w:color w:val="181717"/>
                <w:sz w:val="16"/>
              </w:rPr>
              <w:t>New loss of muscle mass</w:t>
            </w:r>
          </w:p>
          <w:p w14:paraId="5D547236" w14:textId="77777777" w:rsidR="00602C3B" w:rsidRDefault="00000000">
            <w:pPr>
              <w:numPr>
                <w:ilvl w:val="0"/>
                <w:numId w:val="2"/>
              </w:numPr>
              <w:spacing w:after="49"/>
              <w:ind w:hanging="152"/>
            </w:pPr>
            <w:r>
              <w:rPr>
                <w:color w:val="181717"/>
                <w:sz w:val="16"/>
              </w:rPr>
              <w:t>Breathing difficulties</w:t>
            </w:r>
          </w:p>
          <w:p w14:paraId="0BAE7AB4" w14:textId="77777777" w:rsidR="00602C3B" w:rsidRDefault="00000000">
            <w:pPr>
              <w:numPr>
                <w:ilvl w:val="0"/>
                <w:numId w:val="2"/>
              </w:numPr>
              <w:spacing w:after="46"/>
              <w:ind w:hanging="152"/>
            </w:pPr>
            <w:r>
              <w:rPr>
                <w:color w:val="181717"/>
                <w:sz w:val="16"/>
              </w:rPr>
              <w:t>Gastroesophageal reflux disease</w:t>
            </w:r>
          </w:p>
          <w:p w14:paraId="3FA6133F" w14:textId="77777777" w:rsidR="00602C3B" w:rsidRDefault="00000000">
            <w:pPr>
              <w:numPr>
                <w:ilvl w:val="0"/>
                <w:numId w:val="2"/>
              </w:numPr>
              <w:spacing w:after="46"/>
              <w:ind w:hanging="152"/>
            </w:pPr>
            <w:r>
              <w:rPr>
                <w:color w:val="181717"/>
                <w:sz w:val="16"/>
              </w:rPr>
              <w:t>Dysphagia</w:t>
            </w:r>
          </w:p>
          <w:p w14:paraId="613D3924" w14:textId="77777777" w:rsidR="00602C3B" w:rsidRDefault="00000000">
            <w:pPr>
              <w:numPr>
                <w:ilvl w:val="0"/>
                <w:numId w:val="2"/>
              </w:numPr>
              <w:spacing w:after="47"/>
              <w:ind w:hanging="152"/>
            </w:pPr>
            <w:r>
              <w:rPr>
                <w:color w:val="181717"/>
                <w:sz w:val="16"/>
              </w:rPr>
              <w:t>Fasciculations</w:t>
            </w:r>
          </w:p>
          <w:p w14:paraId="04C61171" w14:textId="77777777" w:rsidR="00602C3B" w:rsidRDefault="00000000">
            <w:pPr>
              <w:numPr>
                <w:ilvl w:val="0"/>
                <w:numId w:val="2"/>
              </w:numPr>
              <w:spacing w:after="47"/>
              <w:ind w:hanging="152"/>
            </w:pPr>
            <w:r>
              <w:rPr>
                <w:color w:val="181717"/>
                <w:sz w:val="16"/>
              </w:rPr>
              <w:t>Muscle spasms</w:t>
            </w:r>
          </w:p>
          <w:p w14:paraId="3D97DD17" w14:textId="77777777" w:rsidR="00602C3B" w:rsidRDefault="00000000">
            <w:pPr>
              <w:numPr>
                <w:ilvl w:val="0"/>
                <w:numId w:val="2"/>
              </w:numPr>
              <w:spacing w:after="48"/>
              <w:ind w:hanging="152"/>
            </w:pPr>
            <w:r>
              <w:rPr>
                <w:color w:val="181717"/>
                <w:sz w:val="16"/>
              </w:rPr>
              <w:t>Cold intolerance</w:t>
            </w:r>
          </w:p>
          <w:p w14:paraId="06098850" w14:textId="77777777" w:rsidR="00602C3B" w:rsidRDefault="00000000">
            <w:pPr>
              <w:numPr>
                <w:ilvl w:val="0"/>
                <w:numId w:val="2"/>
              </w:numPr>
              <w:spacing w:after="0"/>
              <w:ind w:hanging="152"/>
            </w:pPr>
            <w:r>
              <w:rPr>
                <w:color w:val="181717"/>
                <w:sz w:val="16"/>
              </w:rPr>
              <w:t>Joint pain and dysfunction</w:t>
            </w:r>
          </w:p>
        </w:tc>
      </w:tr>
    </w:tbl>
    <w:p w14:paraId="597F75F0" w14:textId="77777777" w:rsidR="00602C3B" w:rsidRDefault="00000000">
      <w:pPr>
        <w:spacing w:after="73" w:line="250" w:lineRule="auto"/>
        <w:ind w:left="-15" w:right="4"/>
      </w:pPr>
      <w:proofErr w:type="spellStart"/>
      <w:r>
        <w:rPr>
          <w:rFonts w:ascii="Times New Roman" w:eastAsia="Times New Roman" w:hAnsi="Times New Roman" w:cs="Times New Roman"/>
          <w:color w:val="181717"/>
          <w:sz w:val="20"/>
        </w:rPr>
        <w:t>ing</w:t>
      </w:r>
      <w:proofErr w:type="spellEnd"/>
      <w:r>
        <w:rPr>
          <w:rFonts w:ascii="Times New Roman" w:eastAsia="Times New Roman" w:hAnsi="Times New Roman" w:cs="Times New Roman"/>
          <w:color w:val="181717"/>
          <w:sz w:val="20"/>
        </w:rPr>
        <w:t xml:space="preserve"> the sequelae of polio are rare. The care </w:t>
      </w:r>
      <w:proofErr w:type="gramStart"/>
      <w:r>
        <w:rPr>
          <w:rFonts w:ascii="Times New Roman" w:eastAsia="Times New Roman" w:hAnsi="Times New Roman" w:cs="Times New Roman"/>
          <w:color w:val="181717"/>
          <w:sz w:val="20"/>
        </w:rPr>
        <w:t>of the patient</w:t>
      </w:r>
      <w:proofErr w:type="gramEnd"/>
      <w:r>
        <w:rPr>
          <w:rFonts w:ascii="Times New Roman" w:eastAsia="Times New Roman" w:hAnsi="Times New Roman" w:cs="Times New Roman"/>
          <w:color w:val="181717"/>
          <w:sz w:val="20"/>
        </w:rPr>
        <w:t xml:space="preserve"> with </w:t>
      </w:r>
      <w:proofErr w:type="spellStart"/>
      <w:r>
        <w:rPr>
          <w:rFonts w:ascii="Times New Roman" w:eastAsia="Times New Roman" w:hAnsi="Times New Roman" w:cs="Times New Roman"/>
          <w:color w:val="181717"/>
          <w:sz w:val="20"/>
        </w:rPr>
        <w:t>postpolio</w:t>
      </w:r>
      <w:proofErr w:type="spellEnd"/>
      <w:r>
        <w:rPr>
          <w:rFonts w:ascii="Times New Roman" w:eastAsia="Times New Roman" w:hAnsi="Times New Roman" w:cs="Times New Roman"/>
          <w:color w:val="181717"/>
          <w:sz w:val="20"/>
        </w:rPr>
        <w:t xml:space="preserve"> syndrome (PPS) is not included in the curriculum of the majority of medical or nursing education programs. PPS refers to a constellation of functional complaints, such as pain, extreme fatigue, and muscle weakness following acute polio.</w:t>
      </w:r>
      <w:r>
        <w:rPr>
          <w:rFonts w:ascii="Times New Roman" w:eastAsia="Times New Roman" w:hAnsi="Times New Roman" w:cs="Times New Roman"/>
          <w:color w:val="181717"/>
          <w:sz w:val="20"/>
          <w:vertAlign w:val="superscript"/>
        </w:rPr>
        <w:t xml:space="preserve">4,13 </w:t>
      </w:r>
      <w:r>
        <w:rPr>
          <w:rFonts w:ascii="Times New Roman" w:eastAsia="Times New Roman" w:hAnsi="Times New Roman" w:cs="Times New Roman"/>
          <w:color w:val="181717"/>
          <w:sz w:val="20"/>
        </w:rPr>
        <w:t>Today, nurses who have never cared for patients with acute polio are challenged with helping to manage polio survivors’ chronic pain, a pervasive long-haul symptom of poliovirus infection.</w:t>
      </w:r>
      <w:r>
        <w:rPr>
          <w:rFonts w:ascii="Times New Roman" w:eastAsia="Times New Roman" w:hAnsi="Times New Roman" w:cs="Times New Roman"/>
          <w:color w:val="181717"/>
          <w:sz w:val="20"/>
          <w:vertAlign w:val="superscript"/>
        </w:rPr>
        <w:t>18,19</w:t>
      </w:r>
    </w:p>
    <w:p w14:paraId="09DC52B4"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The causes of PPS pain are multifactorial. Pain intensity is rated as high and often described as “deep aching” in muscles and joints that may increase with movement. Polio survivors complain that muscle cramps and fasciculations interrupt daytime activities and interfere with sleep.</w:t>
      </w:r>
      <w:r>
        <w:rPr>
          <w:rFonts w:ascii="Times New Roman" w:eastAsia="Times New Roman" w:hAnsi="Times New Roman" w:cs="Times New Roman"/>
          <w:color w:val="181717"/>
          <w:sz w:val="20"/>
          <w:vertAlign w:val="superscript"/>
        </w:rPr>
        <w:t>18</w:t>
      </w:r>
    </w:p>
    <w:p w14:paraId="645D870D" w14:textId="77777777" w:rsidR="00602C3B" w:rsidRDefault="00000000">
      <w:pPr>
        <w:spacing w:after="277" w:line="250" w:lineRule="auto"/>
        <w:ind w:right="164" w:firstLine="202"/>
        <w:jc w:val="both"/>
      </w:pPr>
      <w:r>
        <w:rPr>
          <w:rFonts w:ascii="Times New Roman" w:eastAsia="Times New Roman" w:hAnsi="Times New Roman" w:cs="Times New Roman"/>
          <w:color w:val="181717"/>
          <w:sz w:val="20"/>
        </w:rPr>
        <w:lastRenderedPageBreak/>
        <w:t xml:space="preserve">In addition to chronic pain, patients with PPS may experience additional symptoms including new joint pain, extreme fatigue, muscle weakness, breathing and </w:t>
      </w:r>
      <w:r>
        <w:rPr>
          <w:rFonts w:ascii="Times New Roman" w:eastAsia="Times New Roman" w:hAnsi="Times New Roman" w:cs="Times New Roman"/>
          <w:color w:val="181717"/>
          <w:sz w:val="20"/>
        </w:rPr>
        <w:t xml:space="preserve">sleep disturbances, cold intolerance, difficulty swallowing, alteration in gait, and general distress (see </w:t>
      </w:r>
      <w:r>
        <w:rPr>
          <w:rFonts w:ascii="Times New Roman" w:eastAsia="Times New Roman" w:hAnsi="Times New Roman" w:cs="Times New Roman"/>
          <w:i/>
          <w:color w:val="181717"/>
          <w:sz w:val="20"/>
        </w:rPr>
        <w:t>Clinical manifestations of PPS</w:t>
      </w:r>
      <w:r>
        <w:rPr>
          <w:rFonts w:ascii="Times New Roman" w:eastAsia="Times New Roman" w:hAnsi="Times New Roman" w:cs="Times New Roman"/>
          <w:color w:val="181717"/>
          <w:sz w:val="20"/>
        </w:rPr>
        <w:t>).</w:t>
      </w:r>
      <w:r>
        <w:rPr>
          <w:rFonts w:ascii="Times New Roman" w:eastAsia="Times New Roman" w:hAnsi="Times New Roman" w:cs="Times New Roman"/>
          <w:color w:val="181717"/>
          <w:sz w:val="20"/>
          <w:vertAlign w:val="superscript"/>
        </w:rPr>
        <w:t>19-22</w:t>
      </w:r>
    </w:p>
    <w:p w14:paraId="7312D862" w14:textId="77777777" w:rsidR="00602C3B" w:rsidRDefault="00000000">
      <w:pPr>
        <w:spacing w:after="0"/>
        <w:jc w:val="right"/>
      </w:pPr>
      <w:r>
        <w:rPr>
          <w:color w:val="181717"/>
          <w:sz w:val="20"/>
        </w:rPr>
        <w:t xml:space="preserve">March l </w:t>
      </w:r>
      <w:r>
        <w:rPr>
          <w:b/>
          <w:color w:val="181717"/>
          <w:sz w:val="20"/>
        </w:rPr>
        <w:t>Nursing2023</w:t>
      </w:r>
      <w:r>
        <w:rPr>
          <w:color w:val="181717"/>
          <w:sz w:val="20"/>
        </w:rPr>
        <w:t xml:space="preserve"> l </w:t>
      </w:r>
      <w:r>
        <w:rPr>
          <w:b/>
          <w:color w:val="181717"/>
          <w:sz w:val="20"/>
        </w:rPr>
        <w:t>43</w:t>
      </w:r>
    </w:p>
    <w:p w14:paraId="35041F90" w14:textId="77777777" w:rsidR="00602C3B" w:rsidRDefault="00602C3B">
      <w:pPr>
        <w:sectPr w:rsidR="00602C3B">
          <w:type w:val="continuous"/>
          <w:pgSz w:w="11448" w:h="15408"/>
          <w:pgMar w:top="1671" w:right="1032" w:bottom="579" w:left="1044" w:header="720" w:footer="720" w:gutter="0"/>
          <w:cols w:num="3" w:space="345"/>
        </w:sectPr>
      </w:pPr>
    </w:p>
    <w:p w14:paraId="7A3BA9CE" w14:textId="77777777" w:rsidR="00602C3B" w:rsidRDefault="00000000">
      <w:pPr>
        <w:pStyle w:val="Heading1"/>
        <w:spacing w:after="89"/>
        <w:ind w:left="-5"/>
      </w:pPr>
      <w:r>
        <w:t>Cautionary advice regarding NSAIDs for polio survivors</w:t>
      </w:r>
      <w:r>
        <w:rPr>
          <w:vertAlign w:val="superscript"/>
        </w:rPr>
        <w:t>26-28</w:t>
      </w:r>
    </w:p>
    <w:p w14:paraId="5DEE4383" w14:textId="77777777" w:rsidR="00602C3B" w:rsidRDefault="00000000">
      <w:pPr>
        <w:shd w:val="clear" w:color="auto" w:fill="E6E6E9"/>
        <w:spacing w:after="124" w:line="265" w:lineRule="auto"/>
        <w:ind w:left="-5" w:hanging="10"/>
      </w:pPr>
      <w:r>
        <w:rPr>
          <w:color w:val="181717"/>
          <w:sz w:val="16"/>
        </w:rPr>
        <w:t>Polio survivors should be cautioned that NSAIDs inhibit platelet aggregation, and consequently prolong bleeding time.</w:t>
      </w:r>
    </w:p>
    <w:p w14:paraId="18A0E636" w14:textId="77777777" w:rsidR="00602C3B" w:rsidRDefault="00000000">
      <w:pPr>
        <w:shd w:val="clear" w:color="auto" w:fill="E6E6E9"/>
        <w:spacing w:after="180" w:line="265" w:lineRule="auto"/>
        <w:ind w:left="-5" w:hanging="10"/>
      </w:pPr>
      <w:r>
        <w:rPr>
          <w:color w:val="181717"/>
          <w:sz w:val="16"/>
        </w:rPr>
        <w:t>Nurses can engage polio survivors who take NSAIDs to discuss potential adverse reactions and teach them the signs and symptoms of dyspepsia, peptic ulcer disease, and gastrointestinal bleeding.</w:t>
      </w:r>
    </w:p>
    <w:tbl>
      <w:tblPr>
        <w:tblStyle w:val="TableGrid"/>
        <w:tblW w:w="6154" w:type="dxa"/>
        <w:tblInd w:w="-120" w:type="dxa"/>
        <w:tblCellMar>
          <w:top w:w="0" w:type="dxa"/>
          <w:left w:w="0" w:type="dxa"/>
          <w:bottom w:w="0" w:type="dxa"/>
          <w:right w:w="0" w:type="dxa"/>
        </w:tblCellMar>
        <w:tblLook w:val="04A0" w:firstRow="1" w:lastRow="0" w:firstColumn="1" w:lastColumn="0" w:noHBand="0" w:noVBand="1"/>
      </w:tblPr>
      <w:tblGrid>
        <w:gridCol w:w="3200"/>
        <w:gridCol w:w="2954"/>
      </w:tblGrid>
      <w:tr w:rsidR="00602C3B" w14:paraId="0290020E" w14:textId="77777777">
        <w:trPr>
          <w:trHeight w:val="5972"/>
        </w:trPr>
        <w:tc>
          <w:tcPr>
            <w:tcW w:w="3200" w:type="dxa"/>
            <w:tcBorders>
              <w:top w:val="nil"/>
              <w:left w:val="nil"/>
              <w:bottom w:val="nil"/>
              <w:right w:val="nil"/>
            </w:tcBorders>
          </w:tcPr>
          <w:p w14:paraId="6FAC757D" w14:textId="77777777" w:rsidR="00602C3B" w:rsidRDefault="00000000">
            <w:pPr>
              <w:spacing w:after="0"/>
            </w:pPr>
            <w:r>
              <w:rPr>
                <w:b/>
                <w:color w:val="181717"/>
                <w:sz w:val="20"/>
              </w:rPr>
              <w:t>Nursing considerations</w:t>
            </w:r>
          </w:p>
          <w:p w14:paraId="46242E60" w14:textId="77777777" w:rsidR="00602C3B" w:rsidRDefault="00000000">
            <w:pPr>
              <w:spacing w:after="238" w:line="251" w:lineRule="auto"/>
              <w:ind w:right="188"/>
            </w:pPr>
            <w:r>
              <w:rPr>
                <w:rFonts w:ascii="Times New Roman" w:eastAsia="Times New Roman" w:hAnsi="Times New Roman" w:cs="Times New Roman"/>
                <w:color w:val="181717"/>
                <w:sz w:val="20"/>
              </w:rPr>
              <w:t>Comprehensive management of patients with PPS requires an interdisciplinary team. Since nurses spend the most time with patients compared with other healthcare professionals, they are in an optimal position to advocate for patients experiencing PPS pain.</w:t>
            </w:r>
            <w:r>
              <w:rPr>
                <w:rFonts w:ascii="Times New Roman" w:eastAsia="Times New Roman" w:hAnsi="Times New Roman" w:cs="Times New Roman"/>
                <w:color w:val="181717"/>
                <w:sz w:val="20"/>
                <w:vertAlign w:val="superscript"/>
              </w:rPr>
              <w:t>23</w:t>
            </w:r>
            <w:r>
              <w:rPr>
                <w:rFonts w:ascii="Times New Roman" w:eastAsia="Times New Roman" w:hAnsi="Times New Roman" w:cs="Times New Roman"/>
                <w:color w:val="181717"/>
                <w:sz w:val="20"/>
              </w:rPr>
              <w:t xml:space="preserve"> However, if pain assessment is inadequate, pain management will be inadequate.</w:t>
            </w:r>
          </w:p>
          <w:p w14:paraId="7513FD5A" w14:textId="77777777" w:rsidR="00602C3B" w:rsidRDefault="00000000">
            <w:pPr>
              <w:spacing w:after="0"/>
            </w:pPr>
            <w:r>
              <w:rPr>
                <w:b/>
                <w:color w:val="181717"/>
                <w:sz w:val="20"/>
              </w:rPr>
              <w:t>Pain disclosures</w:t>
            </w:r>
          </w:p>
          <w:p w14:paraId="1AEB55CA" w14:textId="77777777" w:rsidR="00602C3B" w:rsidRDefault="00000000">
            <w:pPr>
              <w:spacing w:after="0"/>
              <w:ind w:right="178"/>
            </w:pPr>
            <w:r>
              <w:rPr>
                <w:rFonts w:ascii="Times New Roman" w:eastAsia="Times New Roman" w:hAnsi="Times New Roman" w:cs="Times New Roman"/>
                <w:color w:val="181717"/>
                <w:sz w:val="20"/>
              </w:rPr>
              <w:t>Many polio survivors have vivid memories of their hospitalizations, separation from parents and family, surgeries, and society viewing them as different.</w:t>
            </w:r>
            <w:r>
              <w:rPr>
                <w:rFonts w:ascii="Times New Roman" w:eastAsia="Times New Roman" w:hAnsi="Times New Roman" w:cs="Times New Roman"/>
                <w:color w:val="181717"/>
                <w:sz w:val="20"/>
                <w:vertAlign w:val="superscript"/>
              </w:rPr>
              <w:t>24,25</w:t>
            </w:r>
            <w:r>
              <w:rPr>
                <w:rFonts w:ascii="Times New Roman" w:eastAsia="Times New Roman" w:hAnsi="Times New Roman" w:cs="Times New Roman"/>
                <w:color w:val="181717"/>
                <w:sz w:val="20"/>
              </w:rPr>
              <w:t xml:space="preserve"> They recall traumatic times when the necessity to wear braces prevented them from participating in school and other activities.</w:t>
            </w:r>
            <w:r>
              <w:rPr>
                <w:rFonts w:ascii="Times New Roman" w:eastAsia="Times New Roman" w:hAnsi="Times New Roman" w:cs="Times New Roman"/>
                <w:color w:val="181717"/>
                <w:sz w:val="20"/>
                <w:vertAlign w:val="superscript"/>
              </w:rPr>
              <w:t>24</w:t>
            </w:r>
            <w:r>
              <w:rPr>
                <w:rFonts w:ascii="Times New Roman" w:eastAsia="Times New Roman" w:hAnsi="Times New Roman" w:cs="Times New Roman"/>
                <w:color w:val="181717"/>
                <w:sz w:val="20"/>
              </w:rPr>
              <w:t xml:space="preserve"> Nurses must be aware that memories of childhood experiences and medical treatments of polio survivors may make them reluctant to </w:t>
            </w:r>
          </w:p>
        </w:tc>
        <w:tc>
          <w:tcPr>
            <w:tcW w:w="2954" w:type="dxa"/>
            <w:tcBorders>
              <w:top w:val="nil"/>
              <w:left w:val="nil"/>
              <w:bottom w:val="nil"/>
              <w:right w:val="nil"/>
            </w:tcBorders>
          </w:tcPr>
          <w:p w14:paraId="5146F608" w14:textId="77777777" w:rsidR="00602C3B" w:rsidRDefault="00000000">
            <w:pPr>
              <w:spacing w:after="61" w:line="242" w:lineRule="auto"/>
            </w:pPr>
            <w:r>
              <w:rPr>
                <w:rFonts w:ascii="Times New Roman" w:eastAsia="Times New Roman" w:hAnsi="Times New Roman" w:cs="Times New Roman"/>
                <w:color w:val="181717"/>
                <w:sz w:val="20"/>
              </w:rPr>
              <w:t>talk openly to clinicians. Polio survivors that nurses meet may need to muster the courage to share their pain.</w:t>
            </w:r>
            <w:r>
              <w:rPr>
                <w:rFonts w:ascii="Times New Roman" w:eastAsia="Times New Roman" w:hAnsi="Times New Roman" w:cs="Times New Roman"/>
                <w:color w:val="181717"/>
                <w:sz w:val="20"/>
                <w:vertAlign w:val="superscript"/>
              </w:rPr>
              <w:t>24</w:t>
            </w:r>
          </w:p>
          <w:p w14:paraId="2A596DF8" w14:textId="77777777" w:rsidR="00602C3B" w:rsidRDefault="00000000">
            <w:pPr>
              <w:spacing w:after="41" w:line="246" w:lineRule="auto"/>
              <w:ind w:firstLine="202"/>
            </w:pPr>
            <w:r>
              <w:rPr>
                <w:rFonts w:ascii="Times New Roman" w:eastAsia="Times New Roman" w:hAnsi="Times New Roman" w:cs="Times New Roman"/>
                <w:color w:val="181717"/>
                <w:sz w:val="20"/>
              </w:rPr>
              <w:t>Removing barriers that prevent treatment access can improve polio survivors’ quality of life. Survivors say they feel marginalized when healthcare professionals interpret their complaints of pain as refusing to cope with natural aging.</w:t>
            </w:r>
            <w:r>
              <w:rPr>
                <w:rFonts w:ascii="Times New Roman" w:eastAsia="Times New Roman" w:hAnsi="Times New Roman" w:cs="Times New Roman"/>
                <w:color w:val="181717"/>
                <w:sz w:val="20"/>
                <w:vertAlign w:val="superscript"/>
              </w:rPr>
              <w:t>25</w:t>
            </w:r>
          </w:p>
          <w:p w14:paraId="43DC8D7F" w14:textId="77777777" w:rsidR="00602C3B" w:rsidRDefault="00000000">
            <w:pPr>
              <w:spacing w:after="0" w:line="249" w:lineRule="auto"/>
              <w:ind w:firstLine="202"/>
            </w:pPr>
            <w:r>
              <w:rPr>
                <w:rFonts w:ascii="Times New Roman" w:eastAsia="Times New Roman" w:hAnsi="Times New Roman" w:cs="Times New Roman"/>
                <w:color w:val="181717"/>
                <w:sz w:val="20"/>
              </w:rPr>
              <w:t>Assessing PPS pain can be challenging. Like acute polio, PPS pain differs from one survivor to the next.</w:t>
            </w:r>
          </w:p>
          <w:p w14:paraId="7F2D2922" w14:textId="77777777" w:rsidR="00602C3B" w:rsidRDefault="00000000">
            <w:pPr>
              <w:spacing w:after="0"/>
              <w:ind w:firstLine="202"/>
            </w:pPr>
            <w:r>
              <w:rPr>
                <w:rFonts w:ascii="Times New Roman" w:eastAsia="Times New Roman" w:hAnsi="Times New Roman" w:cs="Times New Roman"/>
                <w:color w:val="181717"/>
                <w:sz w:val="20"/>
              </w:rPr>
              <w:t>Nurses must consider muscle weakness and pain throughout the day and night; deformities from misalignment and weakened musculature; body weight; joint problems; exercise tolerance and habits; rest patterns; sleep hygiene; role expectations; the patient’s willingness to try new interventions; and the availability of resources, such as pharma-</w:t>
            </w:r>
          </w:p>
        </w:tc>
      </w:tr>
      <w:tr w:rsidR="00602C3B" w14:paraId="1769C4F7" w14:textId="77777777">
        <w:trPr>
          <w:trHeight w:val="4086"/>
        </w:trPr>
        <w:tc>
          <w:tcPr>
            <w:tcW w:w="6154" w:type="dxa"/>
            <w:gridSpan w:val="2"/>
            <w:tcBorders>
              <w:top w:val="nil"/>
              <w:left w:val="nil"/>
              <w:bottom w:val="nil"/>
              <w:right w:val="nil"/>
            </w:tcBorders>
            <w:shd w:val="clear" w:color="auto" w:fill="E6E6E9"/>
          </w:tcPr>
          <w:p w14:paraId="69AB7A92" w14:textId="77777777" w:rsidR="00602C3B" w:rsidRDefault="00000000">
            <w:pPr>
              <w:spacing w:after="56"/>
            </w:pPr>
            <w:r>
              <w:rPr>
                <w:b/>
                <w:color w:val="181717"/>
                <w:sz w:val="26"/>
              </w:rPr>
              <w:t>OLDCART</w:t>
            </w:r>
            <w:r>
              <w:rPr>
                <w:b/>
                <w:color w:val="181717"/>
                <w:sz w:val="26"/>
                <w:vertAlign w:val="superscript"/>
              </w:rPr>
              <w:t>34</w:t>
            </w:r>
          </w:p>
          <w:p w14:paraId="728A28AD" w14:textId="77777777" w:rsidR="00602C3B" w:rsidRDefault="00000000">
            <w:pPr>
              <w:spacing w:after="38"/>
            </w:pPr>
            <w:r>
              <w:rPr>
                <w:b/>
                <w:color w:val="181717"/>
                <w:sz w:val="16"/>
              </w:rPr>
              <w:t>O</w:t>
            </w:r>
            <w:r>
              <w:rPr>
                <w:color w:val="181717"/>
                <w:sz w:val="16"/>
              </w:rPr>
              <w:t>nset:</w:t>
            </w:r>
          </w:p>
          <w:p w14:paraId="39476C6F" w14:textId="77777777" w:rsidR="00602C3B" w:rsidRDefault="00000000">
            <w:pPr>
              <w:numPr>
                <w:ilvl w:val="0"/>
                <w:numId w:val="3"/>
              </w:numPr>
              <w:spacing w:after="26"/>
            </w:pPr>
            <w:r>
              <w:rPr>
                <w:color w:val="181717"/>
                <w:sz w:val="16"/>
              </w:rPr>
              <w:t>When did the pain begin?</w:t>
            </w:r>
          </w:p>
          <w:p w14:paraId="0417B445" w14:textId="77777777" w:rsidR="00602C3B" w:rsidRDefault="00000000">
            <w:pPr>
              <w:numPr>
                <w:ilvl w:val="0"/>
                <w:numId w:val="3"/>
              </w:numPr>
              <w:spacing w:after="0"/>
            </w:pPr>
            <w:r>
              <w:rPr>
                <w:color w:val="181717"/>
                <w:sz w:val="16"/>
              </w:rPr>
              <w:t>Does the pain occur abruptly or gradually?</w:t>
            </w:r>
          </w:p>
          <w:p w14:paraId="1C6B7BA8" w14:textId="77777777" w:rsidR="00602C3B" w:rsidRDefault="00000000">
            <w:pPr>
              <w:spacing w:after="37"/>
            </w:pPr>
            <w:r>
              <w:rPr>
                <w:b/>
                <w:color w:val="181717"/>
                <w:sz w:val="16"/>
              </w:rPr>
              <w:t>L</w:t>
            </w:r>
            <w:r>
              <w:rPr>
                <w:color w:val="181717"/>
                <w:sz w:val="16"/>
              </w:rPr>
              <w:t>ocation/s:</w:t>
            </w:r>
          </w:p>
          <w:p w14:paraId="6273A589" w14:textId="77777777" w:rsidR="00602C3B" w:rsidRDefault="00000000">
            <w:pPr>
              <w:numPr>
                <w:ilvl w:val="0"/>
                <w:numId w:val="3"/>
              </w:numPr>
              <w:spacing w:after="0"/>
            </w:pPr>
            <w:r>
              <w:rPr>
                <w:color w:val="181717"/>
                <w:sz w:val="16"/>
              </w:rPr>
              <w:t>Where does it hurt?</w:t>
            </w:r>
          </w:p>
          <w:p w14:paraId="09A259E1" w14:textId="77777777" w:rsidR="00602C3B" w:rsidRDefault="00000000">
            <w:pPr>
              <w:spacing w:after="38"/>
            </w:pPr>
            <w:r>
              <w:rPr>
                <w:b/>
                <w:color w:val="181717"/>
                <w:sz w:val="16"/>
              </w:rPr>
              <w:t>D</w:t>
            </w:r>
            <w:r>
              <w:rPr>
                <w:color w:val="181717"/>
                <w:sz w:val="16"/>
              </w:rPr>
              <w:t>uration:</w:t>
            </w:r>
          </w:p>
          <w:p w14:paraId="345ECFCD" w14:textId="77777777" w:rsidR="00602C3B" w:rsidRDefault="00000000">
            <w:pPr>
              <w:numPr>
                <w:ilvl w:val="0"/>
                <w:numId w:val="3"/>
              </w:numPr>
              <w:spacing w:after="0"/>
            </w:pPr>
            <w:r>
              <w:rPr>
                <w:color w:val="181717"/>
                <w:sz w:val="16"/>
              </w:rPr>
              <w:t>How long does the pain last?</w:t>
            </w:r>
          </w:p>
          <w:p w14:paraId="3456B4C1" w14:textId="77777777" w:rsidR="00602C3B" w:rsidRDefault="00000000">
            <w:pPr>
              <w:spacing w:after="41"/>
            </w:pPr>
            <w:r>
              <w:rPr>
                <w:b/>
                <w:color w:val="181717"/>
                <w:sz w:val="16"/>
              </w:rPr>
              <w:t>C</w:t>
            </w:r>
            <w:r>
              <w:rPr>
                <w:color w:val="181717"/>
                <w:sz w:val="16"/>
              </w:rPr>
              <w:t>haracteristics:</w:t>
            </w:r>
          </w:p>
          <w:p w14:paraId="7D611C50" w14:textId="77777777" w:rsidR="00602C3B" w:rsidRDefault="00000000">
            <w:pPr>
              <w:numPr>
                <w:ilvl w:val="0"/>
                <w:numId w:val="3"/>
              </w:numPr>
              <w:spacing w:after="25" w:line="278" w:lineRule="auto"/>
            </w:pPr>
            <w:r>
              <w:rPr>
                <w:color w:val="181717"/>
                <w:sz w:val="16"/>
              </w:rPr>
              <w:t xml:space="preserve">What words describe the pain? (achy, dull, stabbing, sharp, throbbing) </w:t>
            </w:r>
            <w:r>
              <w:rPr>
                <w:b/>
                <w:color w:val="181717"/>
                <w:sz w:val="16"/>
              </w:rPr>
              <w:t>A</w:t>
            </w:r>
            <w:r>
              <w:rPr>
                <w:color w:val="181717"/>
                <w:sz w:val="16"/>
              </w:rPr>
              <w:t>ggravating factors/</w:t>
            </w:r>
            <w:r>
              <w:rPr>
                <w:b/>
                <w:color w:val="181717"/>
                <w:sz w:val="16"/>
              </w:rPr>
              <w:t>A</w:t>
            </w:r>
            <w:r>
              <w:rPr>
                <w:color w:val="181717"/>
                <w:sz w:val="16"/>
              </w:rPr>
              <w:t>ssociated symptoms:</w:t>
            </w:r>
          </w:p>
          <w:p w14:paraId="11881EDA" w14:textId="77777777" w:rsidR="00602C3B" w:rsidRDefault="00000000">
            <w:pPr>
              <w:numPr>
                <w:ilvl w:val="0"/>
                <w:numId w:val="3"/>
              </w:numPr>
              <w:spacing w:after="28"/>
            </w:pPr>
            <w:r>
              <w:rPr>
                <w:color w:val="181717"/>
                <w:sz w:val="16"/>
              </w:rPr>
              <w:t>What makes the pain worse? Movement? Prolonged sitting?</w:t>
            </w:r>
          </w:p>
          <w:p w14:paraId="2E14595A" w14:textId="77777777" w:rsidR="00602C3B" w:rsidRDefault="00000000">
            <w:pPr>
              <w:numPr>
                <w:ilvl w:val="0"/>
                <w:numId w:val="3"/>
              </w:numPr>
              <w:spacing w:after="0"/>
            </w:pPr>
            <w:r>
              <w:rPr>
                <w:color w:val="181717"/>
                <w:sz w:val="16"/>
              </w:rPr>
              <w:t>Are there any other symptoms that occur with the pain, such as fasciculations?</w:t>
            </w:r>
          </w:p>
          <w:p w14:paraId="5DB4A876" w14:textId="77777777" w:rsidR="00602C3B" w:rsidRDefault="00000000">
            <w:pPr>
              <w:spacing w:after="40"/>
            </w:pPr>
            <w:r>
              <w:rPr>
                <w:b/>
                <w:color w:val="181717"/>
                <w:sz w:val="16"/>
              </w:rPr>
              <w:t>R</w:t>
            </w:r>
            <w:r>
              <w:rPr>
                <w:color w:val="181717"/>
                <w:sz w:val="16"/>
              </w:rPr>
              <w:t>elieving factors:</w:t>
            </w:r>
          </w:p>
          <w:p w14:paraId="76AF9DBE" w14:textId="77777777" w:rsidR="00602C3B" w:rsidRDefault="00000000">
            <w:pPr>
              <w:numPr>
                <w:ilvl w:val="0"/>
                <w:numId w:val="3"/>
              </w:numPr>
              <w:spacing w:after="25" w:line="278" w:lineRule="auto"/>
            </w:pPr>
            <w:r>
              <w:rPr>
                <w:color w:val="181717"/>
                <w:sz w:val="16"/>
              </w:rPr>
              <w:t xml:space="preserve">What makes the pain better? Rest? Warm packs? </w:t>
            </w:r>
            <w:r>
              <w:rPr>
                <w:b/>
                <w:color w:val="181717"/>
                <w:sz w:val="16"/>
              </w:rPr>
              <w:t>T</w:t>
            </w:r>
            <w:r>
              <w:rPr>
                <w:color w:val="181717"/>
                <w:sz w:val="16"/>
              </w:rPr>
              <w:t>reatments:</w:t>
            </w:r>
          </w:p>
          <w:p w14:paraId="4A436AEC" w14:textId="77777777" w:rsidR="00602C3B" w:rsidRDefault="00000000">
            <w:pPr>
              <w:numPr>
                <w:ilvl w:val="0"/>
                <w:numId w:val="3"/>
              </w:numPr>
              <w:spacing w:after="0"/>
            </w:pPr>
            <w:r>
              <w:rPr>
                <w:color w:val="181717"/>
                <w:sz w:val="16"/>
              </w:rPr>
              <w:t xml:space="preserve">What have you tried to relieve the </w:t>
            </w:r>
            <w:proofErr w:type="gramStart"/>
            <w:r>
              <w:rPr>
                <w:color w:val="181717"/>
                <w:sz w:val="16"/>
              </w:rPr>
              <w:t>pain</w:t>
            </w:r>
            <w:proofErr w:type="gramEnd"/>
            <w:r>
              <w:rPr>
                <w:color w:val="181717"/>
                <w:sz w:val="16"/>
              </w:rPr>
              <w:t xml:space="preserve"> and did it work?</w:t>
            </w:r>
          </w:p>
        </w:tc>
      </w:tr>
    </w:tbl>
    <w:p w14:paraId="4FB5FA6B" w14:textId="77777777" w:rsidR="00602C3B" w:rsidRDefault="00000000">
      <w:pPr>
        <w:spacing w:after="287" w:line="250" w:lineRule="auto"/>
        <w:ind w:left="-15" w:right="4"/>
      </w:pPr>
      <w:proofErr w:type="spellStart"/>
      <w:r>
        <w:rPr>
          <w:rFonts w:ascii="Times New Roman" w:eastAsia="Times New Roman" w:hAnsi="Times New Roman" w:cs="Times New Roman"/>
          <w:color w:val="181717"/>
          <w:sz w:val="20"/>
        </w:rPr>
        <w:t>cotherapy</w:t>
      </w:r>
      <w:proofErr w:type="spellEnd"/>
      <w:r>
        <w:rPr>
          <w:rFonts w:ascii="Times New Roman" w:eastAsia="Times New Roman" w:hAnsi="Times New Roman" w:cs="Times New Roman"/>
          <w:color w:val="181717"/>
          <w:sz w:val="20"/>
        </w:rPr>
        <w:t xml:space="preserve"> and physical therapy, bracing and orthotics, and possible surgical interventions (see </w:t>
      </w:r>
      <w:r>
        <w:rPr>
          <w:rFonts w:ascii="Times New Roman" w:eastAsia="Times New Roman" w:hAnsi="Times New Roman" w:cs="Times New Roman"/>
          <w:i/>
          <w:color w:val="181717"/>
          <w:sz w:val="20"/>
        </w:rPr>
        <w:t>Cautionary advice regarding NSAIDs for polio survivors</w:t>
      </w:r>
      <w:r>
        <w:rPr>
          <w:rFonts w:ascii="Times New Roman" w:eastAsia="Times New Roman" w:hAnsi="Times New Roman" w:cs="Times New Roman"/>
          <w:color w:val="181717"/>
          <w:sz w:val="20"/>
        </w:rPr>
        <w:t>).</w:t>
      </w:r>
      <w:r>
        <w:rPr>
          <w:rFonts w:ascii="Times New Roman" w:eastAsia="Times New Roman" w:hAnsi="Times New Roman" w:cs="Times New Roman"/>
          <w:color w:val="181717"/>
          <w:sz w:val="20"/>
          <w:vertAlign w:val="superscript"/>
        </w:rPr>
        <w:t>26-28</w:t>
      </w:r>
      <w:r>
        <w:rPr>
          <w:rFonts w:ascii="Times New Roman" w:eastAsia="Times New Roman" w:hAnsi="Times New Roman" w:cs="Times New Roman"/>
          <w:color w:val="181717"/>
          <w:sz w:val="20"/>
        </w:rPr>
        <w:t xml:space="preserve"> Patients with PPS who have consistently encountered </w:t>
      </w:r>
      <w:proofErr w:type="spellStart"/>
      <w:r>
        <w:rPr>
          <w:rFonts w:ascii="Times New Roman" w:eastAsia="Times New Roman" w:hAnsi="Times New Roman" w:cs="Times New Roman"/>
          <w:color w:val="181717"/>
          <w:sz w:val="20"/>
        </w:rPr>
        <w:t>nonlistening</w:t>
      </w:r>
      <w:proofErr w:type="spellEnd"/>
      <w:r>
        <w:rPr>
          <w:rFonts w:ascii="Times New Roman" w:eastAsia="Times New Roman" w:hAnsi="Times New Roman" w:cs="Times New Roman"/>
          <w:color w:val="181717"/>
          <w:sz w:val="20"/>
        </w:rPr>
        <w:t xml:space="preserve"> or unsupportive healthcare professionals may also benefit from psychological support. Counseling can give the polio survivor permission not to accept chronic PPS pain and assist them in gaining confidence to talk about their pain. Assessing the patient’s family and community support systems is also important.</w:t>
      </w:r>
      <w:r>
        <w:rPr>
          <w:rFonts w:ascii="Times New Roman" w:eastAsia="Times New Roman" w:hAnsi="Times New Roman" w:cs="Times New Roman"/>
          <w:color w:val="181717"/>
          <w:sz w:val="20"/>
          <w:vertAlign w:val="superscript"/>
        </w:rPr>
        <w:t>25</w:t>
      </w:r>
    </w:p>
    <w:p w14:paraId="1354A7AD" w14:textId="77777777" w:rsidR="00602C3B" w:rsidRDefault="00000000">
      <w:pPr>
        <w:spacing w:after="0"/>
        <w:ind w:left="-5" w:hanging="10"/>
      </w:pPr>
      <w:r>
        <w:rPr>
          <w:b/>
          <w:color w:val="181717"/>
          <w:sz w:val="20"/>
        </w:rPr>
        <w:t>OLDCART</w:t>
      </w:r>
    </w:p>
    <w:p w14:paraId="31B1524B" w14:textId="77777777" w:rsidR="00602C3B" w:rsidRDefault="00000000">
      <w:pPr>
        <w:spacing w:after="36" w:line="250" w:lineRule="auto"/>
        <w:ind w:left="-15" w:right="4"/>
      </w:pPr>
      <w:r>
        <w:rPr>
          <w:rFonts w:ascii="Times New Roman" w:eastAsia="Times New Roman" w:hAnsi="Times New Roman" w:cs="Times New Roman"/>
          <w:color w:val="181717"/>
          <w:sz w:val="20"/>
        </w:rPr>
        <w:t xml:space="preserve">A single pain intensity number cannot capture a complete picture of the pain a patient with PPS struggles with daily. Single-dimension pain intensity rating scales typically record pain intensity through patient self-reports. Having patients select a number from 0 to </w:t>
      </w:r>
      <w:proofErr w:type="gramStart"/>
      <w:r>
        <w:rPr>
          <w:rFonts w:ascii="Times New Roman" w:eastAsia="Times New Roman" w:hAnsi="Times New Roman" w:cs="Times New Roman"/>
          <w:color w:val="181717"/>
          <w:sz w:val="20"/>
        </w:rPr>
        <w:t>10, or</w:t>
      </w:r>
      <w:proofErr w:type="gramEnd"/>
      <w:r>
        <w:rPr>
          <w:rFonts w:ascii="Times New Roman" w:eastAsia="Times New Roman" w:hAnsi="Times New Roman" w:cs="Times New Roman"/>
          <w:color w:val="181717"/>
          <w:sz w:val="20"/>
        </w:rPr>
        <w:t xml:space="preserve"> point to a facial expression ranging from </w:t>
      </w:r>
      <w:r>
        <w:rPr>
          <w:rFonts w:ascii="Times New Roman" w:eastAsia="Times New Roman" w:hAnsi="Times New Roman" w:cs="Times New Roman"/>
          <w:color w:val="181717"/>
          <w:sz w:val="20"/>
        </w:rPr>
        <w:lastRenderedPageBreak/>
        <w:t>smiling to tearful, can shed light on their pain intensity.</w:t>
      </w:r>
      <w:r>
        <w:rPr>
          <w:rFonts w:ascii="Times New Roman" w:eastAsia="Times New Roman" w:hAnsi="Times New Roman" w:cs="Times New Roman"/>
          <w:color w:val="181717"/>
          <w:sz w:val="20"/>
          <w:vertAlign w:val="superscript"/>
        </w:rPr>
        <w:t>29</w:t>
      </w:r>
      <w:r>
        <w:rPr>
          <w:rFonts w:ascii="Times New Roman" w:eastAsia="Times New Roman" w:hAnsi="Times New Roman" w:cs="Times New Roman"/>
          <w:color w:val="181717"/>
          <w:sz w:val="20"/>
        </w:rPr>
        <w:t xml:space="preserve"> However, these scales do not comprehensively assess their pain experience.</w:t>
      </w:r>
      <w:r>
        <w:rPr>
          <w:rFonts w:ascii="Times New Roman" w:eastAsia="Times New Roman" w:hAnsi="Times New Roman" w:cs="Times New Roman"/>
          <w:color w:val="181717"/>
          <w:sz w:val="20"/>
          <w:vertAlign w:val="superscript"/>
        </w:rPr>
        <w:t>30</w:t>
      </w:r>
    </w:p>
    <w:p w14:paraId="7AAED4CB" w14:textId="77777777" w:rsidR="00602C3B" w:rsidRDefault="00000000">
      <w:pPr>
        <w:spacing w:after="1" w:line="250" w:lineRule="auto"/>
        <w:ind w:left="-15" w:right="4" w:firstLine="192"/>
      </w:pPr>
      <w:r>
        <w:rPr>
          <w:rFonts w:ascii="Times New Roman" w:eastAsia="Times New Roman" w:hAnsi="Times New Roman" w:cs="Times New Roman"/>
          <w:color w:val="181717"/>
          <w:sz w:val="20"/>
        </w:rPr>
        <w:t>Chronic and acute pain differ significantly in their clinical characteristics. Acute pain is often rated higher on a numerical pain intensity scale than chronic pain.</w:t>
      </w:r>
      <w:r>
        <w:rPr>
          <w:rFonts w:ascii="Times New Roman" w:eastAsia="Times New Roman" w:hAnsi="Times New Roman" w:cs="Times New Roman"/>
          <w:color w:val="181717"/>
          <w:sz w:val="20"/>
          <w:vertAlign w:val="superscript"/>
        </w:rPr>
        <w:t>31</w:t>
      </w:r>
      <w:r>
        <w:rPr>
          <w:rFonts w:ascii="Times New Roman" w:eastAsia="Times New Roman" w:hAnsi="Times New Roman" w:cs="Times New Roman"/>
          <w:color w:val="181717"/>
          <w:sz w:val="20"/>
        </w:rPr>
        <w:t xml:space="preserve"> Healthcare professionals looking for expressions of pain, such as facial grimacing, crying, and moaning, may not recognize a polio survivor’s pain.</w:t>
      </w:r>
    </w:p>
    <w:p w14:paraId="20266FE0" w14:textId="77777777" w:rsidR="00602C3B" w:rsidRDefault="00000000">
      <w:pPr>
        <w:spacing w:after="36" w:line="250" w:lineRule="auto"/>
        <w:ind w:left="-15" w:right="4" w:firstLine="192"/>
      </w:pPr>
      <w:r>
        <w:rPr>
          <w:rFonts w:ascii="Times New Roman" w:eastAsia="Times New Roman" w:hAnsi="Times New Roman" w:cs="Times New Roman"/>
          <w:color w:val="181717"/>
          <w:sz w:val="20"/>
        </w:rPr>
        <w:t>Nurses need an efficient, effective conversation tool to use at the bedside.</w:t>
      </w:r>
      <w:r>
        <w:rPr>
          <w:rFonts w:ascii="Times New Roman" w:eastAsia="Times New Roman" w:hAnsi="Times New Roman" w:cs="Times New Roman"/>
          <w:color w:val="181717"/>
          <w:sz w:val="20"/>
          <w:vertAlign w:val="superscript"/>
        </w:rPr>
        <w:t>32,33</w:t>
      </w:r>
      <w:r>
        <w:rPr>
          <w:rFonts w:ascii="Times New Roman" w:eastAsia="Times New Roman" w:hAnsi="Times New Roman" w:cs="Times New Roman"/>
          <w:color w:val="181717"/>
          <w:sz w:val="20"/>
        </w:rPr>
        <w:t xml:space="preserve"> They are advised to assess pain using a multidimensional approach.</w:t>
      </w:r>
      <w:r>
        <w:rPr>
          <w:rFonts w:ascii="Times New Roman" w:eastAsia="Times New Roman" w:hAnsi="Times New Roman" w:cs="Times New Roman"/>
          <w:color w:val="181717"/>
          <w:sz w:val="20"/>
          <w:vertAlign w:val="superscript"/>
        </w:rPr>
        <w:t>32</w:t>
      </w:r>
      <w:r>
        <w:rPr>
          <w:rFonts w:ascii="Times New Roman" w:eastAsia="Times New Roman" w:hAnsi="Times New Roman" w:cs="Times New Roman"/>
          <w:color w:val="181717"/>
          <w:sz w:val="20"/>
        </w:rPr>
        <w:t xml:space="preserve"> OLDCART is a mnemonic that can quickly guide comprehensive pain assessment (see </w:t>
      </w:r>
      <w:r>
        <w:rPr>
          <w:rFonts w:ascii="Times New Roman" w:eastAsia="Times New Roman" w:hAnsi="Times New Roman" w:cs="Times New Roman"/>
          <w:i/>
          <w:color w:val="181717"/>
          <w:sz w:val="20"/>
        </w:rPr>
        <w:t>OLDCART</w:t>
      </w:r>
      <w:r>
        <w:rPr>
          <w:rFonts w:ascii="Times New Roman" w:eastAsia="Times New Roman" w:hAnsi="Times New Roman" w:cs="Times New Roman"/>
          <w:color w:val="181717"/>
          <w:sz w:val="20"/>
        </w:rPr>
        <w:t>).</w:t>
      </w:r>
      <w:r>
        <w:rPr>
          <w:rFonts w:ascii="Times New Roman" w:eastAsia="Times New Roman" w:hAnsi="Times New Roman" w:cs="Times New Roman"/>
          <w:color w:val="181717"/>
          <w:sz w:val="20"/>
          <w:vertAlign w:val="superscript"/>
        </w:rPr>
        <w:t>34</w:t>
      </w:r>
      <w:r>
        <w:rPr>
          <w:rFonts w:ascii="Times New Roman" w:eastAsia="Times New Roman" w:hAnsi="Times New Roman" w:cs="Times New Roman"/>
          <w:color w:val="181717"/>
          <w:sz w:val="20"/>
        </w:rPr>
        <w:t xml:space="preserve"> It can serve as an outline for discussion with the polio survivor so that pain management represents understanding not only pain intensity but other factors of the patient’s pain. The details </w:t>
      </w:r>
      <w:proofErr w:type="spellStart"/>
      <w:r>
        <w:rPr>
          <w:rFonts w:ascii="Times New Roman" w:eastAsia="Times New Roman" w:hAnsi="Times New Roman" w:cs="Times New Roman"/>
          <w:color w:val="181717"/>
          <w:sz w:val="20"/>
        </w:rPr>
        <w:t>gath</w:t>
      </w:r>
      <w:proofErr w:type="spellEnd"/>
      <w:r>
        <w:rPr>
          <w:rFonts w:ascii="Times New Roman" w:eastAsia="Times New Roman" w:hAnsi="Times New Roman" w:cs="Times New Roman"/>
          <w:color w:val="181717"/>
          <w:sz w:val="20"/>
        </w:rPr>
        <w:t>-</w:t>
      </w:r>
    </w:p>
    <w:p w14:paraId="7D9EAF3A" w14:textId="77777777" w:rsidR="00602C3B" w:rsidRDefault="00000000">
      <w:pPr>
        <w:pStyle w:val="Heading1"/>
        <w:ind w:left="-5"/>
      </w:pPr>
      <w:r>
        <w:t>OLDCART in action</w:t>
      </w:r>
    </w:p>
    <w:p w14:paraId="4BB52F84" w14:textId="77777777" w:rsidR="00602C3B" w:rsidRDefault="00000000">
      <w:pPr>
        <w:shd w:val="clear" w:color="auto" w:fill="E6E6E9"/>
        <w:spacing w:after="5" w:line="265" w:lineRule="auto"/>
        <w:ind w:left="-5" w:hanging="10"/>
      </w:pPr>
      <w:r>
        <w:rPr>
          <w:color w:val="181717"/>
          <w:sz w:val="16"/>
        </w:rPr>
        <w:t xml:space="preserve">As Director of Nursing, I started rounds one morning. The halls were bustling with patients holding onto walkers and canes as they made their way to the dining rooms. The light was on in a patient’s room, so I peeked in. The patient, Jane, </w:t>
      </w:r>
    </w:p>
    <w:p w14:paraId="00ECC714" w14:textId="77777777" w:rsidR="00602C3B" w:rsidRDefault="00000000">
      <w:pPr>
        <w:shd w:val="clear" w:color="auto" w:fill="E6E6E9"/>
        <w:spacing w:after="5" w:line="265" w:lineRule="auto"/>
        <w:ind w:left="-5" w:hanging="10"/>
      </w:pPr>
      <w:r>
        <w:rPr>
          <w:color w:val="181717"/>
          <w:sz w:val="16"/>
        </w:rPr>
        <w:t>waved and said, “Good morning.”</w:t>
      </w:r>
    </w:p>
    <w:p w14:paraId="169E01DE" w14:textId="77777777" w:rsidR="00602C3B" w:rsidRDefault="00000000">
      <w:pPr>
        <w:shd w:val="clear" w:color="auto" w:fill="E6E6E9"/>
        <w:spacing w:after="5" w:line="265" w:lineRule="auto"/>
        <w:ind w:left="-15" w:firstLine="180"/>
      </w:pPr>
      <w:r>
        <w:rPr>
          <w:color w:val="181717"/>
          <w:sz w:val="16"/>
        </w:rPr>
        <w:t>Jane looked at me but did not smile. When I asked how she was, she replied, “Just too sore to get out of bed.” “You usually are up eating in the dining room. What is stopping you?” I asked. Jane moaned, “My hip aches badly, and it has gotten worse since I bumped into the patio door last week. My polio leg was tired, so I stumbled over my foot. (ONSET, LOCATION, CHARACTERISTICS, AGGRAVATING/ASSOCIATED SYMPTOMS) It’s too painful to get up in time to get dressed and ready to eat breakfast with the others in the dining room.”</w:t>
      </w:r>
    </w:p>
    <w:p w14:paraId="46BA4C95" w14:textId="77777777" w:rsidR="00602C3B" w:rsidRDefault="00000000">
      <w:pPr>
        <w:shd w:val="clear" w:color="auto" w:fill="E6E6E9"/>
        <w:spacing w:after="5" w:line="265" w:lineRule="auto"/>
        <w:ind w:left="-15" w:firstLine="180"/>
      </w:pPr>
      <w:r>
        <w:rPr>
          <w:color w:val="181717"/>
          <w:sz w:val="16"/>
        </w:rPr>
        <w:t xml:space="preserve">I pulled a chair over to the bedside, sat down, </w:t>
      </w:r>
      <w:proofErr w:type="gramStart"/>
      <w:r>
        <w:rPr>
          <w:color w:val="181717"/>
          <w:sz w:val="16"/>
        </w:rPr>
        <w:t>and  listened</w:t>
      </w:r>
      <w:proofErr w:type="gramEnd"/>
      <w:r>
        <w:rPr>
          <w:color w:val="181717"/>
          <w:sz w:val="16"/>
        </w:rPr>
        <w:t xml:space="preserve">. I knew that Jane went on an outing to the botanical gardens a couple of days ago. The activity director told me that Jane refused a wheelchair for the excursion and insisted on walking using a cane throughout the grounds. It was a long walk for a woman who had polio as a child. Jane was clinging onto the walker of a friend part of the way. “The pain has been pretty constant since the garden tour,” Jane </w:t>
      </w:r>
    </w:p>
    <w:p w14:paraId="7418D88A" w14:textId="77777777" w:rsidR="00602C3B" w:rsidRDefault="00000000">
      <w:pPr>
        <w:shd w:val="clear" w:color="auto" w:fill="E6E6E9"/>
        <w:spacing w:after="5" w:line="265" w:lineRule="auto"/>
        <w:ind w:left="-5" w:hanging="10"/>
      </w:pPr>
      <w:r>
        <w:rPr>
          <w:color w:val="181717"/>
          <w:sz w:val="16"/>
        </w:rPr>
        <w:t xml:space="preserve">offered. (AGGRAVATING FACTORS, RELIEVING FACTOR) </w:t>
      </w:r>
    </w:p>
    <w:p w14:paraId="78381792" w14:textId="77777777" w:rsidR="00602C3B" w:rsidRDefault="00000000">
      <w:pPr>
        <w:shd w:val="clear" w:color="auto" w:fill="E6E6E9"/>
        <w:spacing w:after="5" w:line="265" w:lineRule="auto"/>
        <w:ind w:left="-15" w:firstLine="180"/>
      </w:pPr>
      <w:r>
        <w:rPr>
          <w:color w:val="181717"/>
          <w:sz w:val="16"/>
        </w:rPr>
        <w:t xml:space="preserve">“Tell me how your hip feels?” I continued. “Deep achiness, like a ball of pain is inside of it.” Jane replied. (CHARACTERISTICS) “About an hour after the nurse brings me my morning meds, I feel better.” (DURATION, TREATMENTS THAT </w:t>
      </w:r>
    </w:p>
    <w:p w14:paraId="1AED3C8B" w14:textId="77777777" w:rsidR="00602C3B" w:rsidRDefault="00000000">
      <w:pPr>
        <w:shd w:val="clear" w:color="auto" w:fill="E6E6E9"/>
        <w:spacing w:after="5" w:line="265" w:lineRule="auto"/>
        <w:ind w:left="-5" w:hanging="10"/>
      </w:pPr>
      <w:r>
        <w:rPr>
          <w:color w:val="181717"/>
          <w:sz w:val="16"/>
        </w:rPr>
        <w:t xml:space="preserve">WORK) I’ve tried rubbing it and </w:t>
      </w:r>
      <w:proofErr w:type="gramStart"/>
      <w:r>
        <w:rPr>
          <w:color w:val="181717"/>
          <w:sz w:val="16"/>
        </w:rPr>
        <w:t>laying</w:t>
      </w:r>
      <w:proofErr w:type="gramEnd"/>
      <w:r>
        <w:rPr>
          <w:color w:val="181717"/>
          <w:sz w:val="16"/>
        </w:rPr>
        <w:t xml:space="preserve"> on my other side, but that doesn’t help. </w:t>
      </w:r>
    </w:p>
    <w:p w14:paraId="1A3867C1" w14:textId="77777777" w:rsidR="00602C3B" w:rsidRDefault="00000000">
      <w:pPr>
        <w:shd w:val="clear" w:color="auto" w:fill="E6E6E9"/>
        <w:spacing w:after="5" w:line="265" w:lineRule="auto"/>
        <w:ind w:left="-5" w:hanging="10"/>
      </w:pPr>
      <w:r>
        <w:rPr>
          <w:color w:val="181717"/>
          <w:sz w:val="16"/>
        </w:rPr>
        <w:t xml:space="preserve">(TREATMENTS THAT DON’T WORK) </w:t>
      </w:r>
    </w:p>
    <w:p w14:paraId="00F126FE" w14:textId="77777777" w:rsidR="00602C3B" w:rsidRDefault="00000000">
      <w:pPr>
        <w:shd w:val="clear" w:color="auto" w:fill="E6E6E9"/>
        <w:spacing w:after="5" w:line="265" w:lineRule="auto"/>
        <w:ind w:left="-15" w:firstLine="180"/>
      </w:pPr>
      <w:r>
        <w:rPr>
          <w:color w:val="181717"/>
          <w:sz w:val="16"/>
        </w:rPr>
        <w:t>“What would you think about me asking the night nurse to bring you your meds earlier so the pain you wake up with in the morning goes away before you want to get up to go to the dining room and be with your friends?” I asked. “The nurse and you could keep track of when the pain comes and goes. The nurses could adjust when they bring you the pain medications that are ordered for you. How would you feel about me asking your Nurse Practitioner to take a look at that hip to see if there is more to be done? He might want physical therapy to evaluate your walking and work with you.”</w:t>
      </w:r>
    </w:p>
    <w:p w14:paraId="3E718383" w14:textId="77777777" w:rsidR="00602C3B" w:rsidRDefault="00000000">
      <w:pPr>
        <w:shd w:val="clear" w:color="auto" w:fill="E6E6E9"/>
        <w:spacing w:after="124" w:line="265" w:lineRule="auto"/>
        <w:ind w:left="-15" w:firstLine="180"/>
      </w:pPr>
      <w:r>
        <w:rPr>
          <w:color w:val="181717"/>
          <w:sz w:val="16"/>
        </w:rPr>
        <w:t>Jane’s face got brighter. “I’ve been thinking this was never going to end. But you sat down and listened. I was trying to deal with the pain and was feeling all alone.”</w:t>
      </w:r>
    </w:p>
    <w:p w14:paraId="23CF1CFF" w14:textId="77777777" w:rsidR="00602C3B" w:rsidRDefault="00000000">
      <w:pPr>
        <w:shd w:val="clear" w:color="auto" w:fill="E6E6E9"/>
        <w:spacing w:after="183" w:line="265" w:lineRule="auto"/>
        <w:ind w:left="-15" w:firstLine="180"/>
      </w:pPr>
      <w:r>
        <w:rPr>
          <w:color w:val="181717"/>
          <w:sz w:val="16"/>
        </w:rPr>
        <w:t>Note that an OLDCART discussion does not have to take a lot of time or occur in a specific sequence. The nurse may not learn each element of OLDCART in one conversation. That’s okay. The joy of using this tool is that the nurse’s discussion captures the feelings and experiences of the patient in a way one number will not.</w:t>
      </w:r>
    </w:p>
    <w:tbl>
      <w:tblPr>
        <w:tblStyle w:val="TableGrid"/>
        <w:tblW w:w="6211" w:type="dxa"/>
        <w:tblInd w:w="-120" w:type="dxa"/>
        <w:tblCellMar>
          <w:top w:w="0" w:type="dxa"/>
          <w:left w:w="0" w:type="dxa"/>
          <w:bottom w:w="0" w:type="dxa"/>
          <w:right w:w="0" w:type="dxa"/>
        </w:tblCellMar>
        <w:tblLook w:val="04A0" w:firstRow="1" w:lastRow="0" w:firstColumn="1" w:lastColumn="0" w:noHBand="0" w:noVBand="1"/>
      </w:tblPr>
      <w:tblGrid>
        <w:gridCol w:w="3200"/>
        <w:gridCol w:w="3011"/>
      </w:tblGrid>
      <w:tr w:rsidR="00602C3B" w14:paraId="60D61DD8" w14:textId="77777777">
        <w:trPr>
          <w:trHeight w:val="3092"/>
        </w:trPr>
        <w:tc>
          <w:tcPr>
            <w:tcW w:w="3200" w:type="dxa"/>
            <w:tcBorders>
              <w:top w:val="nil"/>
              <w:left w:val="nil"/>
              <w:bottom w:val="nil"/>
              <w:right w:val="nil"/>
            </w:tcBorders>
          </w:tcPr>
          <w:p w14:paraId="5B9830DC" w14:textId="77777777" w:rsidR="00602C3B" w:rsidRDefault="00000000">
            <w:pPr>
              <w:spacing w:after="0" w:line="249" w:lineRule="auto"/>
              <w:ind w:right="327"/>
              <w:jc w:val="both"/>
            </w:pPr>
            <w:proofErr w:type="spellStart"/>
            <w:r>
              <w:rPr>
                <w:rFonts w:ascii="Times New Roman" w:eastAsia="Times New Roman" w:hAnsi="Times New Roman" w:cs="Times New Roman"/>
                <w:color w:val="181717"/>
                <w:sz w:val="20"/>
              </w:rPr>
              <w:t>ered</w:t>
            </w:r>
            <w:proofErr w:type="spellEnd"/>
            <w:r>
              <w:rPr>
                <w:rFonts w:ascii="Times New Roman" w:eastAsia="Times New Roman" w:hAnsi="Times New Roman" w:cs="Times New Roman"/>
                <w:color w:val="181717"/>
                <w:sz w:val="20"/>
              </w:rPr>
              <w:t xml:space="preserve"> using OLDCART </w:t>
            </w:r>
            <w:proofErr w:type="gramStart"/>
            <w:r>
              <w:rPr>
                <w:rFonts w:ascii="Times New Roman" w:eastAsia="Times New Roman" w:hAnsi="Times New Roman" w:cs="Times New Roman"/>
                <w:color w:val="181717"/>
                <w:sz w:val="20"/>
              </w:rPr>
              <w:t>help</w:t>
            </w:r>
            <w:proofErr w:type="gramEnd"/>
            <w:r>
              <w:rPr>
                <w:rFonts w:ascii="Times New Roman" w:eastAsia="Times New Roman" w:hAnsi="Times New Roman" w:cs="Times New Roman"/>
                <w:color w:val="181717"/>
                <w:sz w:val="20"/>
              </w:rPr>
              <w:t xml:space="preserve"> the nurse, patient, and the patient’s family agree on what interventions might be useful and doable within their circumstances (see </w:t>
            </w:r>
            <w:r>
              <w:rPr>
                <w:rFonts w:ascii="Times New Roman" w:eastAsia="Times New Roman" w:hAnsi="Times New Roman" w:cs="Times New Roman"/>
                <w:i/>
                <w:color w:val="181717"/>
                <w:sz w:val="20"/>
              </w:rPr>
              <w:t>OLDCART in action</w:t>
            </w:r>
            <w:r>
              <w:rPr>
                <w:rFonts w:ascii="Times New Roman" w:eastAsia="Times New Roman" w:hAnsi="Times New Roman" w:cs="Times New Roman"/>
                <w:color w:val="181717"/>
                <w:sz w:val="20"/>
              </w:rPr>
              <w:t>).</w:t>
            </w:r>
          </w:p>
          <w:p w14:paraId="78975A09" w14:textId="77777777" w:rsidR="00602C3B" w:rsidRDefault="00000000">
            <w:pPr>
              <w:spacing w:after="0"/>
              <w:ind w:right="105" w:firstLine="202"/>
            </w:pPr>
            <w:r>
              <w:rPr>
                <w:rFonts w:ascii="Times New Roman" w:eastAsia="Times New Roman" w:hAnsi="Times New Roman" w:cs="Times New Roman"/>
                <w:color w:val="181717"/>
                <w:sz w:val="20"/>
              </w:rPr>
              <w:t>The OLDCART pain assessment tool is easy to memorize and use. There are no specific questions, and nurses can use their own words. Online tutorials and flashcards are available to gain proficiency in using the OLDCART pain assessment tool.</w:t>
            </w:r>
            <w:r>
              <w:rPr>
                <w:rFonts w:ascii="Times New Roman" w:eastAsia="Times New Roman" w:hAnsi="Times New Roman" w:cs="Times New Roman"/>
                <w:color w:val="181717"/>
                <w:sz w:val="20"/>
                <w:vertAlign w:val="superscript"/>
              </w:rPr>
              <w:t>35</w:t>
            </w:r>
          </w:p>
        </w:tc>
        <w:tc>
          <w:tcPr>
            <w:tcW w:w="3011" w:type="dxa"/>
            <w:tcBorders>
              <w:top w:val="nil"/>
              <w:left w:val="nil"/>
              <w:bottom w:val="nil"/>
              <w:right w:val="nil"/>
            </w:tcBorders>
          </w:tcPr>
          <w:p w14:paraId="6165FD9C" w14:textId="77777777" w:rsidR="00602C3B" w:rsidRDefault="00000000">
            <w:pPr>
              <w:spacing w:after="0"/>
            </w:pPr>
            <w:r>
              <w:rPr>
                <w:b/>
                <w:color w:val="181717"/>
                <w:sz w:val="20"/>
              </w:rPr>
              <w:t>Conclusion</w:t>
            </w:r>
          </w:p>
          <w:p w14:paraId="20BF2AB5" w14:textId="77777777" w:rsidR="00602C3B" w:rsidRDefault="00000000">
            <w:pPr>
              <w:spacing w:after="0"/>
              <w:ind w:right="37"/>
            </w:pPr>
            <w:r>
              <w:rPr>
                <w:rFonts w:ascii="Times New Roman" w:eastAsia="Times New Roman" w:hAnsi="Times New Roman" w:cs="Times New Roman"/>
                <w:color w:val="181717"/>
                <w:sz w:val="20"/>
              </w:rPr>
              <w:t xml:space="preserve">Listening and not brushing aside a patient’s concerns is the hallmark of effective nursing care. A multifaceted pain assessment tool that addresses the factors of pain throughout a polio survivor’s life is key to understanding their pain. Applying the OLDCART mnemonic to assess pain can help to improve comfort for polio survivors. Asking polio survivors to share stories can also improve </w:t>
            </w:r>
            <w:proofErr w:type="gramStart"/>
            <w:r>
              <w:rPr>
                <w:rFonts w:ascii="Times New Roman" w:eastAsia="Times New Roman" w:hAnsi="Times New Roman" w:cs="Times New Roman"/>
                <w:color w:val="181717"/>
                <w:sz w:val="20"/>
              </w:rPr>
              <w:t>their  quality</w:t>
            </w:r>
            <w:proofErr w:type="gramEnd"/>
            <w:r>
              <w:rPr>
                <w:rFonts w:ascii="Times New Roman" w:eastAsia="Times New Roman" w:hAnsi="Times New Roman" w:cs="Times New Roman"/>
                <w:color w:val="181717"/>
                <w:sz w:val="20"/>
              </w:rPr>
              <w:t xml:space="preserve"> of life. </w:t>
            </w:r>
            <w:r>
              <w:rPr>
                <w:rFonts w:ascii="Segoe UI Symbol" w:eastAsia="Segoe UI Symbol" w:hAnsi="Segoe UI Symbol" w:cs="Segoe UI Symbol"/>
                <w:color w:val="181717"/>
                <w:sz w:val="20"/>
              </w:rPr>
              <w:t>■</w:t>
            </w:r>
          </w:p>
        </w:tc>
      </w:tr>
    </w:tbl>
    <w:p w14:paraId="1143DB3C" w14:textId="77777777" w:rsidR="00602C3B" w:rsidRDefault="00000000">
      <w:pPr>
        <w:spacing w:after="29" w:line="248" w:lineRule="auto"/>
        <w:ind w:left="-5" w:hanging="10"/>
      </w:pPr>
      <w:r>
        <w:rPr>
          <w:rFonts w:ascii="Times New Roman" w:eastAsia="Times New Roman" w:hAnsi="Times New Roman" w:cs="Times New Roman"/>
          <w:color w:val="181717"/>
          <w:sz w:val="14"/>
        </w:rPr>
        <w:t>REFERENCES</w:t>
      </w:r>
    </w:p>
    <w:p w14:paraId="733E589F" w14:textId="77777777" w:rsidR="00602C3B" w:rsidRDefault="00000000">
      <w:pPr>
        <w:numPr>
          <w:ilvl w:val="0"/>
          <w:numId w:val="1"/>
        </w:numPr>
        <w:spacing w:after="51" w:line="248" w:lineRule="auto"/>
        <w:ind w:hanging="219"/>
      </w:pPr>
      <w:proofErr w:type="spellStart"/>
      <w:r>
        <w:rPr>
          <w:rFonts w:ascii="Times New Roman" w:eastAsia="Times New Roman" w:hAnsi="Times New Roman" w:cs="Times New Roman"/>
          <w:color w:val="181717"/>
          <w:sz w:val="14"/>
        </w:rPr>
        <w:t>Dattani</w:t>
      </w:r>
      <w:proofErr w:type="spellEnd"/>
      <w:r>
        <w:rPr>
          <w:rFonts w:ascii="Times New Roman" w:eastAsia="Times New Roman" w:hAnsi="Times New Roman" w:cs="Times New Roman"/>
          <w:color w:val="181717"/>
          <w:sz w:val="14"/>
        </w:rPr>
        <w:t xml:space="preserve"> S, Spooner F, </w:t>
      </w:r>
      <w:proofErr w:type="spellStart"/>
      <w:r>
        <w:rPr>
          <w:rFonts w:ascii="Times New Roman" w:eastAsia="Times New Roman" w:hAnsi="Times New Roman" w:cs="Times New Roman"/>
          <w:color w:val="181717"/>
          <w:sz w:val="14"/>
        </w:rPr>
        <w:t>Ochmann</w:t>
      </w:r>
      <w:proofErr w:type="spellEnd"/>
      <w:r>
        <w:rPr>
          <w:rFonts w:ascii="Times New Roman" w:eastAsia="Times New Roman" w:hAnsi="Times New Roman" w:cs="Times New Roman"/>
          <w:color w:val="181717"/>
          <w:sz w:val="14"/>
        </w:rPr>
        <w:t xml:space="preserve"> S, Roser M. Polio. Our World in Data. 2022. https://ourworldindata. org/polio. Accessed November 23, 2022.</w:t>
      </w:r>
    </w:p>
    <w:p w14:paraId="39DAC512"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Yale School of Medicine. Breaking the back of polio. 2005. https://medicine.yale.edu/news/yalemedicine-magazine/article/breaking-the-back-ofpolio/. Accessed November 23, 2022.</w:t>
      </w:r>
    </w:p>
    <w:p w14:paraId="18C72061"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Centers for Disease Control and Prevention. Why are we involved. www.cdc.gov/polio/whyare-we-involved/index.htm#. Accessed November 23, 2022.</w:t>
      </w:r>
    </w:p>
    <w:p w14:paraId="2A31DEBD"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Centers for Disease Control and Prevention. Wastewater testing and detection of poliovirus type 2 genetically linked to virus isolated from a paralytic polio case — New York, March 9– October 11, 2022. </w:t>
      </w:r>
      <w:r>
        <w:rPr>
          <w:rFonts w:ascii="Times New Roman" w:eastAsia="Times New Roman" w:hAnsi="Times New Roman" w:cs="Times New Roman"/>
          <w:i/>
          <w:color w:val="181717"/>
          <w:sz w:val="14"/>
        </w:rPr>
        <w:t xml:space="preserve">MMWR </w:t>
      </w:r>
      <w:proofErr w:type="spellStart"/>
      <w:r>
        <w:rPr>
          <w:rFonts w:ascii="Times New Roman" w:eastAsia="Times New Roman" w:hAnsi="Times New Roman" w:cs="Times New Roman"/>
          <w:i/>
          <w:color w:val="181717"/>
          <w:sz w:val="14"/>
        </w:rPr>
        <w:t>Morb</w:t>
      </w:r>
      <w:proofErr w:type="spellEnd"/>
      <w:r>
        <w:rPr>
          <w:rFonts w:ascii="Times New Roman" w:eastAsia="Times New Roman" w:hAnsi="Times New Roman" w:cs="Times New Roman"/>
          <w:i/>
          <w:color w:val="181717"/>
          <w:sz w:val="14"/>
        </w:rPr>
        <w:t xml:space="preserve"> Mortal </w:t>
      </w:r>
      <w:proofErr w:type="spellStart"/>
      <w:r>
        <w:rPr>
          <w:rFonts w:ascii="Times New Roman" w:eastAsia="Times New Roman" w:hAnsi="Times New Roman" w:cs="Times New Roman"/>
          <w:i/>
          <w:color w:val="181717"/>
          <w:sz w:val="14"/>
        </w:rPr>
        <w:t>Wkly</w:t>
      </w:r>
      <w:proofErr w:type="spellEnd"/>
      <w:r>
        <w:rPr>
          <w:rFonts w:ascii="Times New Roman" w:eastAsia="Times New Roman" w:hAnsi="Times New Roman" w:cs="Times New Roman"/>
          <w:i/>
          <w:color w:val="181717"/>
          <w:sz w:val="14"/>
        </w:rPr>
        <w:t xml:space="preserve"> Rep</w:t>
      </w:r>
      <w:r>
        <w:rPr>
          <w:rFonts w:ascii="Times New Roman" w:eastAsia="Times New Roman" w:hAnsi="Times New Roman" w:cs="Times New Roman"/>
          <w:color w:val="181717"/>
          <w:sz w:val="14"/>
        </w:rPr>
        <w:t>. 2022;71(44):1418-1424. www.cdc.gov/mmwr/ volumes/71/</w:t>
      </w:r>
      <w:proofErr w:type="spellStart"/>
      <w:r>
        <w:rPr>
          <w:rFonts w:ascii="Times New Roman" w:eastAsia="Times New Roman" w:hAnsi="Times New Roman" w:cs="Times New Roman"/>
          <w:color w:val="181717"/>
          <w:sz w:val="14"/>
        </w:rPr>
        <w:t>wr</w:t>
      </w:r>
      <w:proofErr w:type="spellEnd"/>
      <w:r>
        <w:rPr>
          <w:rFonts w:ascii="Times New Roman" w:eastAsia="Times New Roman" w:hAnsi="Times New Roman" w:cs="Times New Roman"/>
          <w:color w:val="181717"/>
          <w:sz w:val="14"/>
        </w:rPr>
        <w:t>/mm7144e2.htm. Accessed November 23, 2022.</w:t>
      </w:r>
    </w:p>
    <w:p w14:paraId="563AC6A9"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Centers for Disease Control and Prevention. United States confirmed as country with circulating vaccine-derived poliovirus. 2022. www.cdc.gov/media/releases/2022/s0913-polio. html. Accessed November 23, 2022.</w:t>
      </w:r>
    </w:p>
    <w:p w14:paraId="27E41E9B"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Centers for Disease Control and Prevention. Global immunization. What is Polio? https://www. cdc.gov/polio/what-is-polio/index.htm. Accessed November 23, 2022.</w:t>
      </w:r>
    </w:p>
    <w:p w14:paraId="7576F8A5"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McRobbie LR. The man in the iron lung. The Guardian. May 26, 2020. www.theguardian.com/ society/2020/may/26/last-iron-lung-paul-alexanderpolio-coronavirus#. Accessed November 23, 2022.</w:t>
      </w:r>
    </w:p>
    <w:p w14:paraId="702DD80F" w14:textId="77777777" w:rsidR="00602C3B" w:rsidRDefault="00000000">
      <w:pPr>
        <w:numPr>
          <w:ilvl w:val="0"/>
          <w:numId w:val="1"/>
        </w:numPr>
        <w:spacing w:after="37" w:line="237" w:lineRule="auto"/>
        <w:ind w:hanging="219"/>
      </w:pPr>
      <w:r>
        <w:rPr>
          <w:rFonts w:ascii="Times New Roman" w:eastAsia="Times New Roman" w:hAnsi="Times New Roman" w:cs="Times New Roman"/>
          <w:color w:val="181717"/>
          <w:sz w:val="14"/>
        </w:rPr>
        <w:t xml:space="preserve">Pohl JF. The Kenny treatment of anterior poliomyelitis (infantile paralysis): report of the first cases treated in America. </w:t>
      </w:r>
      <w:r>
        <w:rPr>
          <w:rFonts w:ascii="Times New Roman" w:eastAsia="Times New Roman" w:hAnsi="Times New Roman" w:cs="Times New Roman"/>
          <w:i/>
          <w:color w:val="181717"/>
          <w:sz w:val="14"/>
        </w:rPr>
        <w:t>JAMA.</w:t>
      </w:r>
      <w:r>
        <w:rPr>
          <w:rFonts w:ascii="Times New Roman" w:eastAsia="Times New Roman" w:hAnsi="Times New Roman" w:cs="Times New Roman"/>
          <w:color w:val="181717"/>
          <w:sz w:val="14"/>
        </w:rPr>
        <w:t xml:space="preserve"> 1942;118(17):1428-1433. doi:10.1001/jama.1942.02830170006002.</w:t>
      </w:r>
    </w:p>
    <w:p w14:paraId="29C6BD0C"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Wilson DJ. Braces, wheelchairs, and iron lungs: the paralyzed body and the machinery of rehabilitation in the polio epidemics. </w:t>
      </w:r>
      <w:r>
        <w:rPr>
          <w:rFonts w:ascii="Times New Roman" w:eastAsia="Times New Roman" w:hAnsi="Times New Roman" w:cs="Times New Roman"/>
          <w:i/>
          <w:color w:val="181717"/>
          <w:sz w:val="14"/>
        </w:rPr>
        <w:t xml:space="preserve">J Med </w:t>
      </w:r>
      <w:proofErr w:type="spellStart"/>
      <w:r>
        <w:rPr>
          <w:rFonts w:ascii="Times New Roman" w:eastAsia="Times New Roman" w:hAnsi="Times New Roman" w:cs="Times New Roman"/>
          <w:i/>
          <w:color w:val="181717"/>
          <w:sz w:val="14"/>
        </w:rPr>
        <w:t>Humanit</w:t>
      </w:r>
      <w:proofErr w:type="spellEnd"/>
      <w:r>
        <w:rPr>
          <w:rFonts w:ascii="Times New Roman" w:eastAsia="Times New Roman" w:hAnsi="Times New Roman" w:cs="Times New Roman"/>
          <w:color w:val="181717"/>
          <w:sz w:val="14"/>
        </w:rPr>
        <w:t>. 2005;26(23):173-190. doi:10.1007/s10912-005-2917-z.</w:t>
      </w:r>
    </w:p>
    <w:p w14:paraId="484F4A1A" w14:textId="77777777" w:rsidR="00602C3B" w:rsidRDefault="00000000">
      <w:pPr>
        <w:numPr>
          <w:ilvl w:val="0"/>
          <w:numId w:val="1"/>
        </w:numPr>
        <w:spacing w:after="51" w:line="248" w:lineRule="auto"/>
        <w:ind w:hanging="219"/>
      </w:pPr>
      <w:r>
        <w:rPr>
          <w:rFonts w:ascii="Times New Roman" w:eastAsia="Times New Roman" w:hAnsi="Times New Roman" w:cs="Times New Roman"/>
          <w:color w:val="181717"/>
          <w:sz w:val="14"/>
        </w:rPr>
        <w:t xml:space="preserve">Ploeger HE, Bus SA, Brehm M-A, Nollet F. Use and usability of custom-made dorsiflexion-restricting ankle-foot orthoses for calf muscle weakness in polio survivors: a cross-sectional survey. </w:t>
      </w:r>
      <w:proofErr w:type="spellStart"/>
      <w:r>
        <w:rPr>
          <w:rFonts w:ascii="Times New Roman" w:eastAsia="Times New Roman" w:hAnsi="Times New Roman" w:cs="Times New Roman"/>
          <w:i/>
          <w:color w:val="181717"/>
          <w:sz w:val="14"/>
        </w:rPr>
        <w:t>Eur</w:t>
      </w:r>
      <w:proofErr w:type="spellEnd"/>
      <w:r>
        <w:rPr>
          <w:rFonts w:ascii="Times New Roman" w:eastAsia="Times New Roman" w:hAnsi="Times New Roman" w:cs="Times New Roman"/>
          <w:i/>
          <w:color w:val="181717"/>
          <w:sz w:val="14"/>
        </w:rPr>
        <w:t xml:space="preserve"> J Phys </w:t>
      </w:r>
      <w:proofErr w:type="spellStart"/>
      <w:r>
        <w:rPr>
          <w:rFonts w:ascii="Times New Roman" w:eastAsia="Times New Roman" w:hAnsi="Times New Roman" w:cs="Times New Roman"/>
          <w:i/>
          <w:color w:val="181717"/>
          <w:sz w:val="14"/>
        </w:rPr>
        <w:t>Rehabil</w:t>
      </w:r>
      <w:proofErr w:type="spellEnd"/>
      <w:r>
        <w:rPr>
          <w:rFonts w:ascii="Times New Roman" w:eastAsia="Times New Roman" w:hAnsi="Times New Roman" w:cs="Times New Roman"/>
          <w:i/>
          <w:color w:val="181717"/>
          <w:sz w:val="14"/>
        </w:rPr>
        <w:t xml:space="preserve"> Med</w:t>
      </w:r>
      <w:r>
        <w:rPr>
          <w:rFonts w:ascii="Times New Roman" w:eastAsia="Times New Roman" w:hAnsi="Times New Roman" w:cs="Times New Roman"/>
          <w:color w:val="181717"/>
          <w:sz w:val="14"/>
        </w:rPr>
        <w:t xml:space="preserve">. </w:t>
      </w:r>
      <w:r>
        <w:rPr>
          <w:rFonts w:ascii="Times New Roman" w:eastAsia="Times New Roman" w:hAnsi="Times New Roman" w:cs="Times New Roman"/>
          <w:color w:val="181717"/>
          <w:sz w:val="14"/>
        </w:rPr>
        <w:lastRenderedPageBreak/>
        <w:t>2020;56(5):575-584. doi:10.23736/S19739087.20.06020-7.</w:t>
      </w:r>
    </w:p>
    <w:p w14:paraId="24DAB1FF" w14:textId="77777777" w:rsidR="00602C3B" w:rsidRDefault="00000000">
      <w:pPr>
        <w:numPr>
          <w:ilvl w:val="0"/>
          <w:numId w:val="1"/>
        </w:numPr>
        <w:spacing w:after="29" w:line="248" w:lineRule="auto"/>
        <w:ind w:hanging="219"/>
      </w:pPr>
      <w:proofErr w:type="spellStart"/>
      <w:r>
        <w:rPr>
          <w:rFonts w:ascii="Times New Roman" w:eastAsia="Times New Roman" w:hAnsi="Times New Roman" w:cs="Times New Roman"/>
          <w:color w:val="181717"/>
          <w:sz w:val="14"/>
        </w:rPr>
        <w:t>Raijmakers</w:t>
      </w:r>
      <w:proofErr w:type="spellEnd"/>
      <w:r>
        <w:rPr>
          <w:rFonts w:ascii="Times New Roman" w:eastAsia="Times New Roman" w:hAnsi="Times New Roman" w:cs="Times New Roman"/>
          <w:color w:val="181717"/>
          <w:sz w:val="14"/>
        </w:rPr>
        <w:t xml:space="preserve"> B, Berendsen-de Gooijer RA, Ploeger HE, Koopman FS, Nollet F, Brehm M-A. Use and usability of custom-made knee-ankle-foot orthoses in polio survivors with knee instability: a </w:t>
      </w:r>
      <w:proofErr w:type="spellStart"/>
      <w:proofErr w:type="gramStart"/>
      <w:r>
        <w:rPr>
          <w:rFonts w:ascii="Times New Roman" w:eastAsia="Times New Roman" w:hAnsi="Times New Roman" w:cs="Times New Roman"/>
          <w:color w:val="181717"/>
          <w:sz w:val="14"/>
        </w:rPr>
        <w:t>crosssectional</w:t>
      </w:r>
      <w:proofErr w:type="spellEnd"/>
      <w:proofErr w:type="gramEnd"/>
      <w:r>
        <w:rPr>
          <w:rFonts w:ascii="Times New Roman" w:eastAsia="Times New Roman" w:hAnsi="Times New Roman" w:cs="Times New Roman"/>
          <w:color w:val="181717"/>
          <w:sz w:val="14"/>
        </w:rPr>
        <w:t xml:space="preserve"> survey. </w:t>
      </w:r>
      <w:r>
        <w:rPr>
          <w:rFonts w:ascii="Times New Roman" w:eastAsia="Times New Roman" w:hAnsi="Times New Roman" w:cs="Times New Roman"/>
          <w:i/>
          <w:color w:val="181717"/>
          <w:sz w:val="14"/>
        </w:rPr>
        <w:t xml:space="preserve">J </w:t>
      </w:r>
      <w:proofErr w:type="spellStart"/>
      <w:r>
        <w:rPr>
          <w:rFonts w:ascii="Times New Roman" w:eastAsia="Times New Roman" w:hAnsi="Times New Roman" w:cs="Times New Roman"/>
          <w:i/>
          <w:color w:val="181717"/>
          <w:sz w:val="14"/>
        </w:rPr>
        <w:t>Rehabil</w:t>
      </w:r>
      <w:proofErr w:type="spellEnd"/>
      <w:r>
        <w:rPr>
          <w:rFonts w:ascii="Times New Roman" w:eastAsia="Times New Roman" w:hAnsi="Times New Roman" w:cs="Times New Roman"/>
          <w:i/>
          <w:color w:val="181717"/>
          <w:sz w:val="14"/>
        </w:rPr>
        <w:t xml:space="preserve"> Med</w:t>
      </w:r>
      <w:r>
        <w:rPr>
          <w:rFonts w:ascii="Times New Roman" w:eastAsia="Times New Roman" w:hAnsi="Times New Roman" w:cs="Times New Roman"/>
          <w:color w:val="181717"/>
          <w:sz w:val="14"/>
        </w:rPr>
        <w:t>. 2022;</w:t>
      </w:r>
      <w:proofErr w:type="gramStart"/>
      <w:r>
        <w:rPr>
          <w:rFonts w:ascii="Times New Roman" w:eastAsia="Times New Roman" w:hAnsi="Times New Roman" w:cs="Times New Roman"/>
          <w:color w:val="181717"/>
          <w:sz w:val="14"/>
        </w:rPr>
        <w:t>54:jrm</w:t>
      </w:r>
      <w:proofErr w:type="gramEnd"/>
      <w:r>
        <w:rPr>
          <w:rFonts w:ascii="Times New Roman" w:eastAsia="Times New Roman" w:hAnsi="Times New Roman" w:cs="Times New Roman"/>
          <w:color w:val="181717"/>
          <w:sz w:val="14"/>
        </w:rPr>
        <w:t>00261. doi:10.2340/</w:t>
      </w:r>
      <w:proofErr w:type="gramStart"/>
      <w:r>
        <w:rPr>
          <w:rFonts w:ascii="Times New Roman" w:eastAsia="Times New Roman" w:hAnsi="Times New Roman" w:cs="Times New Roman"/>
          <w:color w:val="181717"/>
          <w:sz w:val="14"/>
        </w:rPr>
        <w:t>jrm.v</w:t>
      </w:r>
      <w:proofErr w:type="gramEnd"/>
      <w:r>
        <w:rPr>
          <w:rFonts w:ascii="Times New Roman" w:eastAsia="Times New Roman" w:hAnsi="Times New Roman" w:cs="Times New Roman"/>
          <w:color w:val="181717"/>
          <w:sz w:val="14"/>
        </w:rPr>
        <w:t>53.1122.</w:t>
      </w:r>
    </w:p>
    <w:p w14:paraId="74EB4259" w14:textId="77777777" w:rsidR="00602C3B" w:rsidRDefault="00000000">
      <w:pPr>
        <w:numPr>
          <w:ilvl w:val="0"/>
          <w:numId w:val="1"/>
        </w:numPr>
        <w:spacing w:after="51" w:line="248" w:lineRule="auto"/>
        <w:ind w:hanging="219"/>
      </w:pPr>
      <w:r>
        <w:rPr>
          <w:rFonts w:ascii="Times New Roman" w:eastAsia="Times New Roman" w:hAnsi="Times New Roman" w:cs="Times New Roman"/>
          <w:color w:val="181717"/>
          <w:sz w:val="14"/>
        </w:rPr>
        <w:t>National Institute of Neurological Disorders and Stroke (NIH). Post-polio syndrome. www. ninds.nih.gov/health-information/disorders/</w:t>
      </w:r>
      <w:proofErr w:type="spellStart"/>
      <w:r>
        <w:rPr>
          <w:rFonts w:ascii="Times New Roman" w:eastAsia="Times New Roman" w:hAnsi="Times New Roman" w:cs="Times New Roman"/>
          <w:color w:val="181717"/>
          <w:sz w:val="14"/>
        </w:rPr>
        <w:t>postpolio</w:t>
      </w:r>
      <w:proofErr w:type="spellEnd"/>
      <w:r>
        <w:rPr>
          <w:rFonts w:ascii="Times New Roman" w:eastAsia="Times New Roman" w:hAnsi="Times New Roman" w:cs="Times New Roman"/>
          <w:color w:val="181717"/>
          <w:sz w:val="14"/>
        </w:rPr>
        <w:t>-syndrome. Accessed November 22, 2022.</w:t>
      </w:r>
    </w:p>
    <w:p w14:paraId="005D51D0" w14:textId="77777777" w:rsidR="00602C3B" w:rsidRDefault="00000000">
      <w:pPr>
        <w:numPr>
          <w:ilvl w:val="0"/>
          <w:numId w:val="1"/>
        </w:numPr>
        <w:spacing w:after="7" w:line="248" w:lineRule="auto"/>
        <w:ind w:hanging="219"/>
      </w:pPr>
      <w:proofErr w:type="spellStart"/>
      <w:r>
        <w:rPr>
          <w:rFonts w:ascii="Times New Roman" w:eastAsia="Times New Roman" w:hAnsi="Times New Roman" w:cs="Times New Roman"/>
          <w:color w:val="181717"/>
          <w:sz w:val="14"/>
        </w:rPr>
        <w:t>Sobrón</w:t>
      </w:r>
      <w:proofErr w:type="spellEnd"/>
      <w:r>
        <w:rPr>
          <w:rFonts w:ascii="Times New Roman" w:eastAsia="Times New Roman" w:hAnsi="Times New Roman" w:cs="Times New Roman"/>
          <w:color w:val="181717"/>
          <w:sz w:val="14"/>
        </w:rPr>
        <w:t xml:space="preserve"> FB, Martínez-Ayora Á, </w:t>
      </w:r>
      <w:proofErr w:type="spellStart"/>
      <w:r>
        <w:rPr>
          <w:rFonts w:ascii="Times New Roman" w:eastAsia="Times New Roman" w:hAnsi="Times New Roman" w:cs="Times New Roman"/>
          <w:color w:val="181717"/>
          <w:sz w:val="14"/>
        </w:rPr>
        <w:t>Cuervas</w:t>
      </w:r>
      <w:proofErr w:type="spellEnd"/>
      <w:r>
        <w:rPr>
          <w:rFonts w:ascii="Times New Roman" w:eastAsia="Times New Roman" w:hAnsi="Times New Roman" w:cs="Times New Roman"/>
          <w:color w:val="181717"/>
          <w:sz w:val="14"/>
        </w:rPr>
        <w:t>-</w:t>
      </w:r>
    </w:p>
    <w:p w14:paraId="1718473F" w14:textId="77777777" w:rsidR="00602C3B" w:rsidRDefault="00000000">
      <w:pPr>
        <w:spacing w:after="0" w:line="237" w:lineRule="auto"/>
        <w:ind w:left="-5" w:right="103" w:hanging="10"/>
        <w:jc w:val="both"/>
      </w:pPr>
      <w:r>
        <w:rPr>
          <w:rFonts w:ascii="Times New Roman" w:eastAsia="Times New Roman" w:hAnsi="Times New Roman" w:cs="Times New Roman"/>
          <w:color w:val="181717"/>
          <w:sz w:val="14"/>
        </w:rPr>
        <w:t xml:space="preserve">Mons M, Quevedo T, Laguna R, Vaquero J. Total hip arthroplasty in patients of </w:t>
      </w:r>
      <w:proofErr w:type="spellStart"/>
      <w:r>
        <w:rPr>
          <w:rFonts w:ascii="Times New Roman" w:eastAsia="Times New Roman" w:hAnsi="Times New Roman" w:cs="Times New Roman"/>
          <w:color w:val="181717"/>
          <w:sz w:val="14"/>
        </w:rPr>
        <w:t>post polio</w:t>
      </w:r>
      <w:proofErr w:type="spellEnd"/>
      <w:r>
        <w:rPr>
          <w:rFonts w:ascii="Times New Roman" w:eastAsia="Times New Roman" w:hAnsi="Times New Roman" w:cs="Times New Roman"/>
          <w:color w:val="181717"/>
          <w:sz w:val="14"/>
        </w:rPr>
        <w:t xml:space="preserve"> residual paralysis: a retrospective case series. </w:t>
      </w:r>
      <w:r>
        <w:rPr>
          <w:rFonts w:ascii="Times New Roman" w:eastAsia="Times New Roman" w:hAnsi="Times New Roman" w:cs="Times New Roman"/>
          <w:i/>
          <w:color w:val="181717"/>
          <w:sz w:val="14"/>
        </w:rPr>
        <w:t xml:space="preserve">Indian J </w:t>
      </w:r>
      <w:proofErr w:type="spellStart"/>
      <w:r>
        <w:rPr>
          <w:rFonts w:ascii="Times New Roman" w:eastAsia="Times New Roman" w:hAnsi="Times New Roman" w:cs="Times New Roman"/>
          <w:i/>
          <w:color w:val="181717"/>
          <w:sz w:val="14"/>
        </w:rPr>
        <w:t>Orthop</w:t>
      </w:r>
      <w:proofErr w:type="spellEnd"/>
      <w:r>
        <w:rPr>
          <w:rFonts w:ascii="Times New Roman" w:eastAsia="Times New Roman" w:hAnsi="Times New Roman" w:cs="Times New Roman"/>
          <w:color w:val="181717"/>
          <w:sz w:val="14"/>
        </w:rPr>
        <w:t xml:space="preserve">. </w:t>
      </w:r>
    </w:p>
    <w:p w14:paraId="1971F596" w14:textId="77777777" w:rsidR="00602C3B" w:rsidRDefault="00000000">
      <w:pPr>
        <w:spacing w:after="29" w:line="248" w:lineRule="auto"/>
        <w:ind w:left="-5" w:hanging="10"/>
      </w:pPr>
      <w:r>
        <w:rPr>
          <w:rFonts w:ascii="Times New Roman" w:eastAsia="Times New Roman" w:hAnsi="Times New Roman" w:cs="Times New Roman"/>
          <w:color w:val="181717"/>
          <w:sz w:val="14"/>
        </w:rPr>
        <w:t>2017;51(4):434-439. doi:10.4103/0019-5413.209951.</w:t>
      </w:r>
    </w:p>
    <w:p w14:paraId="43E73817"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Alsheikh KA, </w:t>
      </w:r>
      <w:proofErr w:type="spellStart"/>
      <w:r>
        <w:rPr>
          <w:rFonts w:ascii="Times New Roman" w:eastAsia="Times New Roman" w:hAnsi="Times New Roman" w:cs="Times New Roman"/>
          <w:color w:val="181717"/>
          <w:sz w:val="14"/>
        </w:rPr>
        <w:t>Aldeghaither</w:t>
      </w:r>
      <w:proofErr w:type="spellEnd"/>
      <w:r>
        <w:rPr>
          <w:rFonts w:ascii="Times New Roman" w:eastAsia="Times New Roman" w:hAnsi="Times New Roman" w:cs="Times New Roman"/>
          <w:color w:val="181717"/>
          <w:sz w:val="14"/>
        </w:rPr>
        <w:t xml:space="preserve"> SA, </w:t>
      </w:r>
      <w:proofErr w:type="spellStart"/>
      <w:r>
        <w:rPr>
          <w:rFonts w:ascii="Times New Roman" w:eastAsia="Times New Roman" w:hAnsi="Times New Roman" w:cs="Times New Roman"/>
          <w:color w:val="181717"/>
          <w:sz w:val="14"/>
        </w:rPr>
        <w:t>Alhandi</w:t>
      </w:r>
      <w:proofErr w:type="spellEnd"/>
      <w:r>
        <w:rPr>
          <w:rFonts w:ascii="Times New Roman" w:eastAsia="Times New Roman" w:hAnsi="Times New Roman" w:cs="Times New Roman"/>
          <w:color w:val="181717"/>
          <w:sz w:val="14"/>
        </w:rPr>
        <w:t xml:space="preserve"> AA. Total knee replacement in a polio patient with prior extension osteotomy: a case report. </w:t>
      </w:r>
      <w:r>
        <w:rPr>
          <w:rFonts w:ascii="Times New Roman" w:eastAsia="Times New Roman" w:hAnsi="Times New Roman" w:cs="Times New Roman"/>
          <w:i/>
          <w:color w:val="181717"/>
          <w:sz w:val="14"/>
        </w:rPr>
        <w:t>J Surg Case Rep</w:t>
      </w:r>
      <w:r>
        <w:rPr>
          <w:rFonts w:ascii="Times New Roman" w:eastAsia="Times New Roman" w:hAnsi="Times New Roman" w:cs="Times New Roman"/>
          <w:color w:val="181717"/>
          <w:sz w:val="14"/>
        </w:rPr>
        <w:t>. 2022;2022(1</w:t>
      </w:r>
      <w:proofErr w:type="gramStart"/>
      <w:r>
        <w:rPr>
          <w:rFonts w:ascii="Times New Roman" w:eastAsia="Times New Roman" w:hAnsi="Times New Roman" w:cs="Times New Roman"/>
          <w:color w:val="181717"/>
          <w:sz w:val="14"/>
        </w:rPr>
        <w:t>):rjab</w:t>
      </w:r>
      <w:proofErr w:type="gramEnd"/>
      <w:r>
        <w:rPr>
          <w:rFonts w:ascii="Times New Roman" w:eastAsia="Times New Roman" w:hAnsi="Times New Roman" w:cs="Times New Roman"/>
          <w:color w:val="181717"/>
          <w:sz w:val="14"/>
        </w:rPr>
        <w:t>575. doi:10.1093/</w:t>
      </w:r>
      <w:proofErr w:type="spellStart"/>
      <w:r>
        <w:rPr>
          <w:rFonts w:ascii="Times New Roman" w:eastAsia="Times New Roman" w:hAnsi="Times New Roman" w:cs="Times New Roman"/>
          <w:color w:val="181717"/>
          <w:sz w:val="14"/>
        </w:rPr>
        <w:t>jscr</w:t>
      </w:r>
      <w:proofErr w:type="spellEnd"/>
      <w:r>
        <w:rPr>
          <w:rFonts w:ascii="Times New Roman" w:eastAsia="Times New Roman" w:hAnsi="Times New Roman" w:cs="Times New Roman"/>
          <w:color w:val="181717"/>
          <w:sz w:val="14"/>
        </w:rPr>
        <w:t>/ rjab575.</w:t>
      </w:r>
    </w:p>
    <w:p w14:paraId="185FAA06"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Yoon B-H, Lee Y-K, Yoo JJ, Kim HJ, Koo K-H. Total hip arthroplasty performed in patients with residual poliomyelitis: does it work? </w:t>
      </w:r>
      <w:r>
        <w:rPr>
          <w:rFonts w:ascii="Times New Roman" w:eastAsia="Times New Roman" w:hAnsi="Times New Roman" w:cs="Times New Roman"/>
          <w:i/>
          <w:color w:val="181717"/>
          <w:sz w:val="14"/>
        </w:rPr>
        <w:t xml:space="preserve">Clin </w:t>
      </w:r>
      <w:proofErr w:type="spellStart"/>
      <w:r>
        <w:rPr>
          <w:rFonts w:ascii="Times New Roman" w:eastAsia="Times New Roman" w:hAnsi="Times New Roman" w:cs="Times New Roman"/>
          <w:i/>
          <w:color w:val="181717"/>
          <w:sz w:val="14"/>
        </w:rPr>
        <w:t>Orthop</w:t>
      </w:r>
      <w:proofErr w:type="spellEnd"/>
      <w:r>
        <w:rPr>
          <w:rFonts w:ascii="Times New Roman" w:eastAsia="Times New Roman" w:hAnsi="Times New Roman" w:cs="Times New Roman"/>
          <w:i/>
          <w:color w:val="181717"/>
          <w:sz w:val="14"/>
        </w:rPr>
        <w:t xml:space="preserve"> </w:t>
      </w:r>
      <w:proofErr w:type="spellStart"/>
      <w:r>
        <w:rPr>
          <w:rFonts w:ascii="Times New Roman" w:eastAsia="Times New Roman" w:hAnsi="Times New Roman" w:cs="Times New Roman"/>
          <w:i/>
          <w:color w:val="181717"/>
          <w:sz w:val="14"/>
        </w:rPr>
        <w:t>Relat</w:t>
      </w:r>
      <w:proofErr w:type="spellEnd"/>
      <w:r>
        <w:rPr>
          <w:rFonts w:ascii="Times New Roman" w:eastAsia="Times New Roman" w:hAnsi="Times New Roman" w:cs="Times New Roman"/>
          <w:i/>
          <w:color w:val="181717"/>
          <w:sz w:val="14"/>
        </w:rPr>
        <w:t xml:space="preserve"> Res</w:t>
      </w:r>
      <w:r>
        <w:rPr>
          <w:rFonts w:ascii="Times New Roman" w:eastAsia="Times New Roman" w:hAnsi="Times New Roman" w:cs="Times New Roman"/>
          <w:color w:val="181717"/>
          <w:sz w:val="14"/>
        </w:rPr>
        <w:t>. 2014;472(3):933-940. doi:10.1007/ s11999-013-3338-3.</w:t>
      </w:r>
    </w:p>
    <w:p w14:paraId="290A61CD"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Centers for Disease Control and Prevention. Polio vaccination: what everyone should know. </w:t>
      </w:r>
    </w:p>
    <w:p w14:paraId="0E56C31A" w14:textId="77777777" w:rsidR="00602C3B" w:rsidRDefault="00602C3B">
      <w:pPr>
        <w:sectPr w:rsidR="00602C3B">
          <w:type w:val="continuous"/>
          <w:pgSz w:w="11448" w:h="15408"/>
          <w:pgMar w:top="1683" w:right="1044" w:bottom="1052" w:left="1164" w:header="720" w:footer="720" w:gutter="0"/>
          <w:cols w:num="2" w:space="720" w:equalWidth="0">
            <w:col w:w="5753" w:space="491"/>
            <w:col w:w="2995"/>
          </w:cols>
        </w:sectPr>
      </w:pPr>
    </w:p>
    <w:p w14:paraId="318776D1" w14:textId="77777777" w:rsidR="00602C3B" w:rsidRDefault="00000000">
      <w:pPr>
        <w:tabs>
          <w:tab w:val="right" w:pos="9356"/>
        </w:tabs>
        <w:spacing w:after="80"/>
      </w:pPr>
      <w:r>
        <w:rPr>
          <w:color w:val="181717"/>
          <w:sz w:val="14"/>
        </w:rPr>
        <w:t xml:space="preserve">www.Nursing2023.com </w:t>
      </w:r>
      <w:r>
        <w:rPr>
          <w:color w:val="181717"/>
          <w:sz w:val="14"/>
        </w:rPr>
        <w:tab/>
      </w:r>
      <w:r>
        <w:rPr>
          <w:color w:val="181717"/>
          <w:sz w:val="20"/>
        </w:rPr>
        <w:t xml:space="preserve">March l </w:t>
      </w:r>
      <w:r>
        <w:rPr>
          <w:b/>
          <w:color w:val="181717"/>
          <w:sz w:val="20"/>
        </w:rPr>
        <w:t>Nursing2023</w:t>
      </w:r>
      <w:r>
        <w:rPr>
          <w:color w:val="181717"/>
          <w:sz w:val="20"/>
        </w:rPr>
        <w:t xml:space="preserve"> l </w:t>
      </w:r>
      <w:r>
        <w:rPr>
          <w:b/>
          <w:color w:val="181717"/>
          <w:sz w:val="20"/>
        </w:rPr>
        <w:t>45</w:t>
      </w:r>
    </w:p>
    <w:p w14:paraId="34E5F682" w14:textId="77777777" w:rsidR="00602C3B" w:rsidRDefault="00602C3B">
      <w:pPr>
        <w:sectPr w:rsidR="00602C3B">
          <w:type w:val="continuous"/>
          <w:pgSz w:w="11448" w:h="15408"/>
          <w:pgMar w:top="1683" w:right="1032" w:bottom="584" w:left="1060" w:header="720" w:footer="720" w:gutter="0"/>
          <w:cols w:space="720"/>
        </w:sectPr>
      </w:pPr>
    </w:p>
    <w:p w14:paraId="752EB71C" w14:textId="77777777" w:rsidR="00602C3B" w:rsidRDefault="00000000">
      <w:pPr>
        <w:spacing w:after="29" w:line="248" w:lineRule="auto"/>
        <w:ind w:left="-5" w:hanging="10"/>
      </w:pPr>
      <w:r>
        <w:rPr>
          <w:rFonts w:ascii="Times New Roman" w:eastAsia="Times New Roman" w:hAnsi="Times New Roman" w:cs="Times New Roman"/>
          <w:color w:val="181717"/>
          <w:sz w:val="14"/>
        </w:rPr>
        <w:t>Vaccines and preventable diseases. www.cdc.gov/ vaccines/</w:t>
      </w:r>
      <w:proofErr w:type="spellStart"/>
      <w:r>
        <w:rPr>
          <w:rFonts w:ascii="Times New Roman" w:eastAsia="Times New Roman" w:hAnsi="Times New Roman" w:cs="Times New Roman"/>
          <w:color w:val="181717"/>
          <w:sz w:val="14"/>
        </w:rPr>
        <w:t>vpd</w:t>
      </w:r>
      <w:proofErr w:type="spellEnd"/>
      <w:r>
        <w:rPr>
          <w:rFonts w:ascii="Times New Roman" w:eastAsia="Times New Roman" w:hAnsi="Times New Roman" w:cs="Times New Roman"/>
          <w:color w:val="181717"/>
          <w:sz w:val="14"/>
        </w:rPr>
        <w:t>/polio/public/index.html. Accessed November 23, 2022.</w:t>
      </w:r>
    </w:p>
    <w:p w14:paraId="1C339DDE"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Reeve Foundation. Post-polio syndrome. www.christopherreeve.org/living-with-paralysis/ health/causes-of-paralysis/post-polio-</w:t>
      </w:r>
      <w:proofErr w:type="spellStart"/>
      <w:r>
        <w:rPr>
          <w:rFonts w:ascii="Times New Roman" w:eastAsia="Times New Roman" w:hAnsi="Times New Roman" w:cs="Times New Roman"/>
          <w:color w:val="181717"/>
          <w:sz w:val="14"/>
        </w:rPr>
        <w:t>syndromepoliomyelitis</w:t>
      </w:r>
      <w:proofErr w:type="spellEnd"/>
      <w:r>
        <w:rPr>
          <w:rFonts w:ascii="Times New Roman" w:eastAsia="Times New Roman" w:hAnsi="Times New Roman" w:cs="Times New Roman"/>
          <w:color w:val="181717"/>
          <w:sz w:val="14"/>
        </w:rPr>
        <w:t>. Accessed November 21, 2022.</w:t>
      </w:r>
    </w:p>
    <w:p w14:paraId="033C0852" w14:textId="77777777" w:rsidR="00602C3B" w:rsidRDefault="00000000">
      <w:pPr>
        <w:numPr>
          <w:ilvl w:val="0"/>
          <w:numId w:val="1"/>
        </w:numPr>
        <w:spacing w:after="29" w:line="248" w:lineRule="auto"/>
        <w:ind w:hanging="219"/>
      </w:pPr>
      <w:proofErr w:type="spellStart"/>
      <w:r>
        <w:rPr>
          <w:rFonts w:ascii="Times New Roman" w:eastAsia="Times New Roman" w:hAnsi="Times New Roman" w:cs="Times New Roman"/>
          <w:color w:val="181717"/>
          <w:sz w:val="14"/>
        </w:rPr>
        <w:t>Boshuis</w:t>
      </w:r>
      <w:proofErr w:type="spellEnd"/>
      <w:r>
        <w:rPr>
          <w:rFonts w:ascii="Times New Roman" w:eastAsia="Times New Roman" w:hAnsi="Times New Roman" w:cs="Times New Roman"/>
          <w:color w:val="181717"/>
          <w:sz w:val="14"/>
        </w:rPr>
        <w:t xml:space="preserve"> EC, Melin E, Borg K. Pain in </w:t>
      </w:r>
      <w:proofErr w:type="spellStart"/>
      <w:r>
        <w:rPr>
          <w:rFonts w:ascii="Times New Roman" w:eastAsia="Times New Roman" w:hAnsi="Times New Roman" w:cs="Times New Roman"/>
          <w:color w:val="181717"/>
          <w:sz w:val="14"/>
        </w:rPr>
        <w:t>postpolio</w:t>
      </w:r>
      <w:proofErr w:type="spellEnd"/>
      <w:r>
        <w:rPr>
          <w:rFonts w:ascii="Times New Roman" w:eastAsia="Times New Roman" w:hAnsi="Times New Roman" w:cs="Times New Roman"/>
          <w:color w:val="181717"/>
          <w:sz w:val="14"/>
        </w:rPr>
        <w:t xml:space="preserve"> syndrome: a separate pain entity? </w:t>
      </w:r>
      <w:r>
        <w:rPr>
          <w:rFonts w:ascii="Times New Roman" w:eastAsia="Times New Roman" w:hAnsi="Times New Roman" w:cs="Times New Roman"/>
          <w:i/>
          <w:color w:val="181717"/>
          <w:sz w:val="14"/>
        </w:rPr>
        <w:t xml:space="preserve">J </w:t>
      </w:r>
      <w:proofErr w:type="spellStart"/>
      <w:r>
        <w:rPr>
          <w:rFonts w:ascii="Times New Roman" w:eastAsia="Times New Roman" w:hAnsi="Times New Roman" w:cs="Times New Roman"/>
          <w:i/>
          <w:color w:val="181717"/>
          <w:sz w:val="14"/>
        </w:rPr>
        <w:t>Rehabil</w:t>
      </w:r>
      <w:proofErr w:type="spellEnd"/>
      <w:r>
        <w:rPr>
          <w:rFonts w:ascii="Times New Roman" w:eastAsia="Times New Roman" w:hAnsi="Times New Roman" w:cs="Times New Roman"/>
          <w:i/>
          <w:color w:val="181717"/>
          <w:sz w:val="14"/>
        </w:rPr>
        <w:t xml:space="preserve"> Med Clin Commun</w:t>
      </w:r>
      <w:r>
        <w:rPr>
          <w:rFonts w:ascii="Times New Roman" w:eastAsia="Times New Roman" w:hAnsi="Times New Roman" w:cs="Times New Roman"/>
          <w:color w:val="181717"/>
          <w:sz w:val="14"/>
        </w:rPr>
        <w:t>. 2022;5. doi:10.2340/200307111000077.</w:t>
      </w:r>
    </w:p>
    <w:p w14:paraId="3117EDE2" w14:textId="77777777" w:rsidR="00602C3B" w:rsidRDefault="00000000">
      <w:pPr>
        <w:numPr>
          <w:ilvl w:val="0"/>
          <w:numId w:val="1"/>
        </w:numPr>
        <w:spacing w:after="37" w:line="237" w:lineRule="auto"/>
        <w:ind w:hanging="219"/>
      </w:pPr>
      <w:r>
        <w:rPr>
          <w:rFonts w:ascii="Times New Roman" w:eastAsia="Times New Roman" w:hAnsi="Times New Roman" w:cs="Times New Roman"/>
          <w:color w:val="181717"/>
          <w:sz w:val="14"/>
        </w:rPr>
        <w:t>Shapiro J. Polio pioneer helps survivors hold on to strength. 2019. www.npr.org/2009/05/11/103892252/ polio-pioneer-helps-survivors-hold-on-to-strength. Accessed November 21, 2022.</w:t>
      </w:r>
    </w:p>
    <w:p w14:paraId="7E0DC480"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Li Hi Shing S, </w:t>
      </w:r>
      <w:proofErr w:type="spellStart"/>
      <w:r>
        <w:rPr>
          <w:rFonts w:ascii="Times New Roman" w:eastAsia="Times New Roman" w:hAnsi="Times New Roman" w:cs="Times New Roman"/>
          <w:color w:val="181717"/>
          <w:sz w:val="14"/>
        </w:rPr>
        <w:t>Chipika</w:t>
      </w:r>
      <w:proofErr w:type="spellEnd"/>
      <w:r>
        <w:rPr>
          <w:rFonts w:ascii="Times New Roman" w:eastAsia="Times New Roman" w:hAnsi="Times New Roman" w:cs="Times New Roman"/>
          <w:color w:val="181717"/>
          <w:sz w:val="14"/>
        </w:rPr>
        <w:t xml:space="preserve"> RH, Finegan E, Murray D, Hardiman O, Bede P. Post-polio syndrome: more than just a lower motor neuron disease. </w:t>
      </w:r>
      <w:r>
        <w:rPr>
          <w:rFonts w:ascii="Times New Roman" w:eastAsia="Times New Roman" w:hAnsi="Times New Roman" w:cs="Times New Roman"/>
          <w:i/>
          <w:color w:val="181717"/>
          <w:sz w:val="14"/>
        </w:rPr>
        <w:t>Front Neurol</w:t>
      </w:r>
      <w:r>
        <w:rPr>
          <w:rFonts w:ascii="Times New Roman" w:eastAsia="Times New Roman" w:hAnsi="Times New Roman" w:cs="Times New Roman"/>
          <w:color w:val="181717"/>
          <w:sz w:val="14"/>
        </w:rPr>
        <w:t>. 2019;10. doi:10.3389/fneur.2019.00773.</w:t>
      </w:r>
    </w:p>
    <w:p w14:paraId="71386BB1" w14:textId="77777777" w:rsidR="00602C3B" w:rsidRDefault="00000000">
      <w:pPr>
        <w:numPr>
          <w:ilvl w:val="0"/>
          <w:numId w:val="1"/>
        </w:numPr>
        <w:spacing w:after="7" w:line="248" w:lineRule="auto"/>
        <w:ind w:hanging="219"/>
      </w:pPr>
      <w:proofErr w:type="spellStart"/>
      <w:r>
        <w:rPr>
          <w:rFonts w:ascii="Times New Roman" w:eastAsia="Times New Roman" w:hAnsi="Times New Roman" w:cs="Times New Roman"/>
          <w:color w:val="181717"/>
          <w:sz w:val="14"/>
        </w:rPr>
        <w:t>Stoelb</w:t>
      </w:r>
      <w:proofErr w:type="spellEnd"/>
      <w:r>
        <w:rPr>
          <w:rFonts w:ascii="Times New Roman" w:eastAsia="Times New Roman" w:hAnsi="Times New Roman" w:cs="Times New Roman"/>
          <w:color w:val="181717"/>
          <w:sz w:val="14"/>
        </w:rPr>
        <w:t xml:space="preserve"> BL, Carter GT, Abresch RT, </w:t>
      </w:r>
      <w:proofErr w:type="spellStart"/>
      <w:r>
        <w:rPr>
          <w:rFonts w:ascii="Times New Roman" w:eastAsia="Times New Roman" w:hAnsi="Times New Roman" w:cs="Times New Roman"/>
          <w:color w:val="181717"/>
          <w:sz w:val="14"/>
        </w:rPr>
        <w:t>Purekal</w:t>
      </w:r>
      <w:proofErr w:type="spellEnd"/>
      <w:r>
        <w:rPr>
          <w:rFonts w:ascii="Times New Roman" w:eastAsia="Times New Roman" w:hAnsi="Times New Roman" w:cs="Times New Roman"/>
          <w:color w:val="181717"/>
          <w:sz w:val="14"/>
        </w:rPr>
        <w:t xml:space="preserve"> S, </w:t>
      </w:r>
    </w:p>
    <w:p w14:paraId="1C88559F" w14:textId="77777777" w:rsidR="00602C3B" w:rsidRDefault="00000000">
      <w:pPr>
        <w:spacing w:after="37" w:line="237" w:lineRule="auto"/>
        <w:ind w:left="-5" w:right="182" w:hanging="10"/>
        <w:jc w:val="both"/>
      </w:pPr>
      <w:r>
        <w:rPr>
          <w:rFonts w:ascii="Times New Roman" w:eastAsia="Times New Roman" w:hAnsi="Times New Roman" w:cs="Times New Roman"/>
          <w:color w:val="181717"/>
          <w:sz w:val="14"/>
        </w:rPr>
        <w:t xml:space="preserve">McDonald CM, Jensen MP. Pain in persons with </w:t>
      </w:r>
      <w:proofErr w:type="spellStart"/>
      <w:r>
        <w:rPr>
          <w:rFonts w:ascii="Times New Roman" w:eastAsia="Times New Roman" w:hAnsi="Times New Roman" w:cs="Times New Roman"/>
          <w:color w:val="181717"/>
          <w:sz w:val="14"/>
        </w:rPr>
        <w:t>postpolio</w:t>
      </w:r>
      <w:proofErr w:type="spellEnd"/>
      <w:r>
        <w:rPr>
          <w:rFonts w:ascii="Times New Roman" w:eastAsia="Times New Roman" w:hAnsi="Times New Roman" w:cs="Times New Roman"/>
          <w:color w:val="181717"/>
          <w:sz w:val="14"/>
        </w:rPr>
        <w:t xml:space="preserve"> syndrome: frequency, intensity, and impact. </w:t>
      </w:r>
      <w:r>
        <w:rPr>
          <w:rFonts w:ascii="Times New Roman" w:eastAsia="Times New Roman" w:hAnsi="Times New Roman" w:cs="Times New Roman"/>
          <w:i/>
          <w:color w:val="181717"/>
          <w:sz w:val="14"/>
        </w:rPr>
        <w:t xml:space="preserve">Arch Phys Med </w:t>
      </w:r>
      <w:proofErr w:type="spellStart"/>
      <w:r>
        <w:rPr>
          <w:rFonts w:ascii="Times New Roman" w:eastAsia="Times New Roman" w:hAnsi="Times New Roman" w:cs="Times New Roman"/>
          <w:i/>
          <w:color w:val="181717"/>
          <w:sz w:val="14"/>
        </w:rPr>
        <w:t>Rehabil</w:t>
      </w:r>
      <w:proofErr w:type="spellEnd"/>
      <w:r>
        <w:rPr>
          <w:rFonts w:ascii="Times New Roman" w:eastAsia="Times New Roman" w:hAnsi="Times New Roman" w:cs="Times New Roman"/>
          <w:color w:val="181717"/>
          <w:sz w:val="14"/>
        </w:rPr>
        <w:t xml:space="preserve">. 2008;89(10):19331940. </w:t>
      </w:r>
      <w:proofErr w:type="gramStart"/>
      <w:r>
        <w:rPr>
          <w:rFonts w:ascii="Times New Roman" w:eastAsia="Times New Roman" w:hAnsi="Times New Roman" w:cs="Times New Roman"/>
          <w:color w:val="181717"/>
          <w:sz w:val="14"/>
        </w:rPr>
        <w:t>doi:10.1016/j.apmr</w:t>
      </w:r>
      <w:proofErr w:type="gramEnd"/>
      <w:r>
        <w:rPr>
          <w:rFonts w:ascii="Times New Roman" w:eastAsia="Times New Roman" w:hAnsi="Times New Roman" w:cs="Times New Roman"/>
          <w:color w:val="181717"/>
          <w:sz w:val="14"/>
        </w:rPr>
        <w:t>.2008.03.018.</w:t>
      </w:r>
    </w:p>
    <w:p w14:paraId="35497307" w14:textId="77777777" w:rsidR="00602C3B" w:rsidRDefault="00000000">
      <w:pPr>
        <w:numPr>
          <w:ilvl w:val="0"/>
          <w:numId w:val="1"/>
        </w:numPr>
        <w:spacing w:after="7" w:line="248" w:lineRule="auto"/>
        <w:ind w:hanging="219"/>
      </w:pPr>
      <w:r>
        <w:rPr>
          <w:rFonts w:ascii="Times New Roman" w:eastAsia="Times New Roman" w:hAnsi="Times New Roman" w:cs="Times New Roman"/>
          <w:color w:val="181717"/>
          <w:sz w:val="14"/>
        </w:rPr>
        <w:t xml:space="preserve">McMahon BJ, </w:t>
      </w:r>
      <w:proofErr w:type="spellStart"/>
      <w:r>
        <w:rPr>
          <w:rFonts w:ascii="Times New Roman" w:eastAsia="Times New Roman" w:hAnsi="Times New Roman" w:cs="Times New Roman"/>
          <w:color w:val="181717"/>
          <w:sz w:val="14"/>
        </w:rPr>
        <w:t>Dojeiji</w:t>
      </w:r>
      <w:proofErr w:type="spellEnd"/>
      <w:r>
        <w:rPr>
          <w:rFonts w:ascii="Times New Roman" w:eastAsia="Times New Roman" w:hAnsi="Times New Roman" w:cs="Times New Roman"/>
          <w:color w:val="181717"/>
          <w:sz w:val="14"/>
        </w:rPr>
        <w:t xml:space="preserve"> S, Leiva RA, Fisher JM. </w:t>
      </w:r>
    </w:p>
    <w:p w14:paraId="5DCEAB35" w14:textId="77777777" w:rsidR="00602C3B" w:rsidRDefault="00000000">
      <w:pPr>
        <w:spacing w:after="7" w:line="248" w:lineRule="auto"/>
        <w:ind w:left="-5" w:hanging="10"/>
      </w:pPr>
      <w:r>
        <w:rPr>
          <w:rFonts w:ascii="Times New Roman" w:eastAsia="Times New Roman" w:hAnsi="Times New Roman" w:cs="Times New Roman"/>
          <w:color w:val="181717"/>
          <w:sz w:val="14"/>
        </w:rPr>
        <w:t xml:space="preserve">Sixty-nine years after surviving the polio epidemic. </w:t>
      </w:r>
    </w:p>
    <w:p w14:paraId="5C8AFE06" w14:textId="77777777" w:rsidR="00602C3B" w:rsidRDefault="00000000">
      <w:pPr>
        <w:spacing w:after="29" w:line="248" w:lineRule="auto"/>
        <w:ind w:left="-5" w:hanging="10"/>
      </w:pPr>
      <w:r>
        <w:rPr>
          <w:rFonts w:ascii="Times New Roman" w:eastAsia="Times New Roman" w:hAnsi="Times New Roman" w:cs="Times New Roman"/>
          <w:i/>
          <w:color w:val="181717"/>
          <w:sz w:val="14"/>
        </w:rPr>
        <w:t>Can Med Assoc J</w:t>
      </w:r>
      <w:r>
        <w:rPr>
          <w:rFonts w:ascii="Times New Roman" w:eastAsia="Times New Roman" w:hAnsi="Times New Roman" w:cs="Times New Roman"/>
          <w:color w:val="181717"/>
          <w:sz w:val="14"/>
        </w:rPr>
        <w:t>. 2021;193(50). doi:10.1503/</w:t>
      </w:r>
      <w:proofErr w:type="spellStart"/>
      <w:r>
        <w:rPr>
          <w:rFonts w:ascii="Times New Roman" w:eastAsia="Times New Roman" w:hAnsi="Times New Roman" w:cs="Times New Roman"/>
          <w:color w:val="181717"/>
          <w:sz w:val="14"/>
        </w:rPr>
        <w:t>cmaj</w:t>
      </w:r>
      <w:proofErr w:type="spellEnd"/>
      <w:r>
        <w:rPr>
          <w:rFonts w:ascii="Times New Roman" w:eastAsia="Times New Roman" w:hAnsi="Times New Roman" w:cs="Times New Roman"/>
          <w:color w:val="181717"/>
          <w:sz w:val="14"/>
        </w:rPr>
        <w:t>. 210985.</w:t>
      </w:r>
    </w:p>
    <w:p w14:paraId="5B4009FD"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Laughlin L. 22 million employed in health care fight against COVID-19. 2021. www.census.gov/ library/stories/2021/04/who-are-our-health-careworkers.html. Accessed November 22, 2022.</w:t>
      </w:r>
    </w:p>
    <w:p w14:paraId="42CC18A2" w14:textId="77777777" w:rsidR="00602C3B" w:rsidRDefault="00000000">
      <w:pPr>
        <w:numPr>
          <w:ilvl w:val="0"/>
          <w:numId w:val="1"/>
        </w:numPr>
        <w:spacing w:after="29" w:line="248" w:lineRule="auto"/>
        <w:ind w:hanging="219"/>
      </w:pPr>
      <w:proofErr w:type="spellStart"/>
      <w:r>
        <w:rPr>
          <w:rFonts w:ascii="Times New Roman" w:eastAsia="Times New Roman" w:hAnsi="Times New Roman" w:cs="Times New Roman"/>
          <w:color w:val="181717"/>
          <w:sz w:val="14"/>
        </w:rPr>
        <w:t>Yelnik</w:t>
      </w:r>
      <w:proofErr w:type="spellEnd"/>
      <w:r>
        <w:rPr>
          <w:rFonts w:ascii="Times New Roman" w:eastAsia="Times New Roman" w:hAnsi="Times New Roman" w:cs="Times New Roman"/>
          <w:color w:val="181717"/>
          <w:sz w:val="14"/>
        </w:rPr>
        <w:t xml:space="preserve"> A, Laffont I. The psychological aspects of polio survivors through their life experience. </w:t>
      </w:r>
      <w:r>
        <w:rPr>
          <w:rFonts w:ascii="Times New Roman" w:eastAsia="Times New Roman" w:hAnsi="Times New Roman" w:cs="Times New Roman"/>
          <w:i/>
          <w:color w:val="181717"/>
          <w:sz w:val="14"/>
        </w:rPr>
        <w:t xml:space="preserve">Ann Phys </w:t>
      </w:r>
      <w:proofErr w:type="spellStart"/>
      <w:r>
        <w:rPr>
          <w:rFonts w:ascii="Times New Roman" w:eastAsia="Times New Roman" w:hAnsi="Times New Roman" w:cs="Times New Roman"/>
          <w:i/>
          <w:color w:val="181717"/>
          <w:sz w:val="14"/>
        </w:rPr>
        <w:t>Rehabil</w:t>
      </w:r>
      <w:proofErr w:type="spellEnd"/>
      <w:r>
        <w:rPr>
          <w:rFonts w:ascii="Times New Roman" w:eastAsia="Times New Roman" w:hAnsi="Times New Roman" w:cs="Times New Roman"/>
          <w:i/>
          <w:color w:val="181717"/>
          <w:sz w:val="14"/>
        </w:rPr>
        <w:t xml:space="preserve"> Med</w:t>
      </w:r>
      <w:r>
        <w:rPr>
          <w:rFonts w:ascii="Times New Roman" w:eastAsia="Times New Roman" w:hAnsi="Times New Roman" w:cs="Times New Roman"/>
          <w:color w:val="181717"/>
          <w:sz w:val="14"/>
        </w:rPr>
        <w:t>. 2010;53(1):60-67. doi:10.1016/j. rehab.2009.11.006.</w:t>
      </w:r>
    </w:p>
    <w:p w14:paraId="2AD9E402"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Atwal A, </w:t>
      </w:r>
      <w:proofErr w:type="spellStart"/>
      <w:r>
        <w:rPr>
          <w:rFonts w:ascii="Times New Roman" w:eastAsia="Times New Roman" w:hAnsi="Times New Roman" w:cs="Times New Roman"/>
          <w:color w:val="181717"/>
          <w:sz w:val="14"/>
        </w:rPr>
        <w:t>Spiliotopoulou</w:t>
      </w:r>
      <w:proofErr w:type="spellEnd"/>
      <w:r>
        <w:rPr>
          <w:rFonts w:ascii="Times New Roman" w:eastAsia="Times New Roman" w:hAnsi="Times New Roman" w:cs="Times New Roman"/>
          <w:color w:val="181717"/>
          <w:sz w:val="14"/>
        </w:rPr>
        <w:t xml:space="preserve"> G, Coleman C, et al. Polio survivors’ perceptions of the meaning of quality of life and strategies used to promote participation in everyday activities. </w:t>
      </w:r>
      <w:r>
        <w:rPr>
          <w:rFonts w:ascii="Times New Roman" w:eastAsia="Times New Roman" w:hAnsi="Times New Roman" w:cs="Times New Roman"/>
          <w:i/>
          <w:color w:val="181717"/>
          <w:sz w:val="14"/>
        </w:rPr>
        <w:t>Health Expect</w:t>
      </w:r>
      <w:r>
        <w:rPr>
          <w:rFonts w:ascii="Times New Roman" w:eastAsia="Times New Roman" w:hAnsi="Times New Roman" w:cs="Times New Roman"/>
          <w:color w:val="181717"/>
          <w:sz w:val="14"/>
        </w:rPr>
        <w:t>. 2015;18(5):715-726. doi:10.1111/hex.12152.</w:t>
      </w:r>
    </w:p>
    <w:p w14:paraId="040CDC73"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National Health Service 111 Wales. Post-polio syndrome: pain killers. https://111.wales.nhs.uk/ </w:t>
      </w:r>
      <w:proofErr w:type="spellStart"/>
      <w:r>
        <w:rPr>
          <w:rFonts w:ascii="Times New Roman" w:eastAsia="Times New Roman" w:hAnsi="Times New Roman" w:cs="Times New Roman"/>
          <w:color w:val="181717"/>
          <w:sz w:val="14"/>
        </w:rPr>
        <w:t>Postpoliosyndrome</w:t>
      </w:r>
      <w:proofErr w:type="spellEnd"/>
      <w:r>
        <w:rPr>
          <w:rFonts w:ascii="Times New Roman" w:eastAsia="Times New Roman" w:hAnsi="Times New Roman" w:cs="Times New Roman"/>
          <w:color w:val="181717"/>
          <w:sz w:val="14"/>
        </w:rPr>
        <w:t>/. Accessed November 24, 2022.</w:t>
      </w:r>
    </w:p>
    <w:p w14:paraId="7C71D255" w14:textId="77777777" w:rsidR="00602C3B" w:rsidRDefault="00000000">
      <w:pPr>
        <w:numPr>
          <w:ilvl w:val="0"/>
          <w:numId w:val="1"/>
        </w:numPr>
        <w:spacing w:after="37" w:line="237" w:lineRule="auto"/>
        <w:ind w:hanging="219"/>
      </w:pPr>
      <w:r>
        <w:rPr>
          <w:rFonts w:ascii="Times New Roman" w:eastAsia="Times New Roman" w:hAnsi="Times New Roman" w:cs="Times New Roman"/>
          <w:color w:val="181717"/>
          <w:sz w:val="14"/>
        </w:rPr>
        <w:t xml:space="preserve">Drini M. Peptic ulcer disease and non-steroidal anti-inflammatory drugs. </w:t>
      </w:r>
      <w:r>
        <w:rPr>
          <w:rFonts w:ascii="Times New Roman" w:eastAsia="Times New Roman" w:hAnsi="Times New Roman" w:cs="Times New Roman"/>
          <w:i/>
          <w:color w:val="181717"/>
          <w:sz w:val="14"/>
        </w:rPr>
        <w:t xml:space="preserve">Aust </w:t>
      </w:r>
      <w:proofErr w:type="spellStart"/>
      <w:r>
        <w:rPr>
          <w:rFonts w:ascii="Times New Roman" w:eastAsia="Times New Roman" w:hAnsi="Times New Roman" w:cs="Times New Roman"/>
          <w:i/>
          <w:color w:val="181717"/>
          <w:sz w:val="14"/>
        </w:rPr>
        <w:t>Prescr</w:t>
      </w:r>
      <w:proofErr w:type="spellEnd"/>
      <w:r>
        <w:rPr>
          <w:rFonts w:ascii="Times New Roman" w:eastAsia="Times New Roman" w:hAnsi="Times New Roman" w:cs="Times New Roman"/>
          <w:color w:val="181717"/>
          <w:sz w:val="14"/>
        </w:rPr>
        <w:t>. 2017;40(3):9193. doi:10.18773/austprescr.2017.037.</w:t>
      </w:r>
    </w:p>
    <w:p w14:paraId="359F0DAD"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Raja SN, Carr DB, Cohen M, et al. The Revised International Association for the Study of Pain definition of pain: concepts, challenges, and compromises. </w:t>
      </w:r>
      <w:r>
        <w:rPr>
          <w:rFonts w:ascii="Times New Roman" w:eastAsia="Times New Roman" w:hAnsi="Times New Roman" w:cs="Times New Roman"/>
          <w:i/>
          <w:color w:val="181717"/>
          <w:sz w:val="14"/>
        </w:rPr>
        <w:t>Pain</w:t>
      </w:r>
      <w:r>
        <w:rPr>
          <w:rFonts w:ascii="Times New Roman" w:eastAsia="Times New Roman" w:hAnsi="Times New Roman" w:cs="Times New Roman"/>
          <w:color w:val="181717"/>
          <w:sz w:val="14"/>
        </w:rPr>
        <w:t xml:space="preserve">. 2020;161(9):1976-1982. </w:t>
      </w:r>
      <w:proofErr w:type="gramStart"/>
      <w:r>
        <w:rPr>
          <w:rFonts w:ascii="Times New Roman" w:eastAsia="Times New Roman" w:hAnsi="Times New Roman" w:cs="Times New Roman"/>
          <w:color w:val="181717"/>
          <w:sz w:val="14"/>
        </w:rPr>
        <w:t>doi:10.1097/j.pain</w:t>
      </w:r>
      <w:proofErr w:type="gramEnd"/>
      <w:r>
        <w:rPr>
          <w:rFonts w:ascii="Times New Roman" w:eastAsia="Times New Roman" w:hAnsi="Times New Roman" w:cs="Times New Roman"/>
          <w:color w:val="181717"/>
          <w:sz w:val="14"/>
        </w:rPr>
        <w:t>.0000000000001939.</w:t>
      </w:r>
    </w:p>
    <w:p w14:paraId="31DC76FF" w14:textId="77777777" w:rsidR="00602C3B" w:rsidRDefault="00000000">
      <w:pPr>
        <w:numPr>
          <w:ilvl w:val="0"/>
          <w:numId w:val="1"/>
        </w:numPr>
        <w:spacing w:after="37" w:line="237" w:lineRule="auto"/>
        <w:ind w:hanging="219"/>
      </w:pPr>
      <w:r>
        <w:rPr>
          <w:rFonts w:ascii="Times New Roman" w:eastAsia="Times New Roman" w:hAnsi="Times New Roman" w:cs="Times New Roman"/>
          <w:color w:val="181717"/>
          <w:sz w:val="14"/>
        </w:rPr>
        <w:t xml:space="preserve">Campbell JN. The fifth vital sign revisited. </w:t>
      </w:r>
      <w:r>
        <w:rPr>
          <w:rFonts w:ascii="Times New Roman" w:eastAsia="Times New Roman" w:hAnsi="Times New Roman" w:cs="Times New Roman"/>
          <w:i/>
          <w:color w:val="181717"/>
          <w:sz w:val="14"/>
        </w:rPr>
        <w:t>Pain</w:t>
      </w:r>
      <w:r>
        <w:rPr>
          <w:rFonts w:ascii="Times New Roman" w:eastAsia="Times New Roman" w:hAnsi="Times New Roman" w:cs="Times New Roman"/>
          <w:color w:val="181717"/>
          <w:sz w:val="14"/>
        </w:rPr>
        <w:t xml:space="preserve">. 2016;157(1):3-4. </w:t>
      </w:r>
      <w:proofErr w:type="gramStart"/>
      <w:r>
        <w:rPr>
          <w:rFonts w:ascii="Times New Roman" w:eastAsia="Times New Roman" w:hAnsi="Times New Roman" w:cs="Times New Roman"/>
          <w:color w:val="181717"/>
          <w:sz w:val="14"/>
        </w:rPr>
        <w:t>doi:10.1097/j.pain</w:t>
      </w:r>
      <w:proofErr w:type="gramEnd"/>
      <w:r>
        <w:rPr>
          <w:rFonts w:ascii="Times New Roman" w:eastAsia="Times New Roman" w:hAnsi="Times New Roman" w:cs="Times New Roman"/>
          <w:color w:val="181717"/>
          <w:sz w:val="14"/>
        </w:rPr>
        <w:t>.0000000000000 413.</w:t>
      </w:r>
    </w:p>
    <w:p w14:paraId="71CDE39C" w14:textId="77777777" w:rsidR="00602C3B" w:rsidRDefault="00000000">
      <w:pPr>
        <w:numPr>
          <w:ilvl w:val="0"/>
          <w:numId w:val="1"/>
        </w:numPr>
        <w:spacing w:after="29" w:line="248" w:lineRule="auto"/>
        <w:ind w:hanging="219"/>
      </w:pPr>
      <w:proofErr w:type="spellStart"/>
      <w:r>
        <w:rPr>
          <w:rFonts w:ascii="Times New Roman" w:eastAsia="Times New Roman" w:hAnsi="Times New Roman" w:cs="Times New Roman"/>
          <w:color w:val="181717"/>
          <w:sz w:val="14"/>
        </w:rPr>
        <w:t>Kishner</w:t>
      </w:r>
      <w:proofErr w:type="spellEnd"/>
      <w:r>
        <w:rPr>
          <w:rFonts w:ascii="Times New Roman" w:eastAsia="Times New Roman" w:hAnsi="Times New Roman" w:cs="Times New Roman"/>
          <w:color w:val="181717"/>
          <w:sz w:val="14"/>
        </w:rPr>
        <w:t xml:space="preserve"> S. Pain assessment. </w:t>
      </w:r>
      <w:r>
        <w:rPr>
          <w:rFonts w:ascii="Times New Roman" w:eastAsia="Times New Roman" w:hAnsi="Times New Roman" w:cs="Times New Roman"/>
          <w:i/>
          <w:color w:val="181717"/>
          <w:sz w:val="14"/>
        </w:rPr>
        <w:t>Medscape</w:t>
      </w:r>
      <w:r>
        <w:rPr>
          <w:rFonts w:ascii="Times New Roman" w:eastAsia="Times New Roman" w:hAnsi="Times New Roman" w:cs="Times New Roman"/>
          <w:color w:val="181717"/>
          <w:sz w:val="14"/>
        </w:rPr>
        <w:t>. 2018. https://emedicine.medscape.com/article/1948069overview. Accessed November 23, 2022.</w:t>
      </w:r>
    </w:p>
    <w:p w14:paraId="02A1C2C0" w14:textId="77777777" w:rsidR="00602C3B" w:rsidRDefault="00000000">
      <w:pPr>
        <w:numPr>
          <w:ilvl w:val="0"/>
          <w:numId w:val="1"/>
        </w:numPr>
        <w:spacing w:after="29" w:line="248" w:lineRule="auto"/>
        <w:ind w:hanging="219"/>
      </w:pPr>
      <w:r>
        <w:rPr>
          <w:noProof/>
        </w:rPr>
        <mc:AlternateContent>
          <mc:Choice Requires="wpg">
            <w:drawing>
              <wp:anchor distT="0" distB="0" distL="114300" distR="114300" simplePos="0" relativeHeight="251658240" behindDoc="0" locked="0" layoutInCell="1" allowOverlap="1" wp14:anchorId="5422AC28" wp14:editId="51334B61">
                <wp:simplePos x="0" y="0"/>
                <wp:positionH relativeFrom="margin">
                  <wp:posOffset>13</wp:posOffset>
                </wp:positionH>
                <wp:positionV relativeFrom="paragraph">
                  <wp:posOffset>525905</wp:posOffset>
                </wp:positionV>
                <wp:extent cx="5943600" cy="6350"/>
                <wp:effectExtent l="0" t="0" r="0" b="0"/>
                <wp:wrapTopAndBottom/>
                <wp:docPr id="8493" name="Group 8493"/>
                <wp:cNvGraphicFramePr/>
                <a:graphic xmlns:a="http://schemas.openxmlformats.org/drawingml/2006/main">
                  <a:graphicData uri="http://schemas.microsoft.com/office/word/2010/wordprocessingGroup">
                    <wpg:wgp>
                      <wpg:cNvGrpSpPr/>
                      <wpg:grpSpPr>
                        <a:xfrm>
                          <a:off x="0" y="0"/>
                          <a:ext cx="5943600" cy="6350"/>
                          <a:chOff x="0" y="0"/>
                          <a:chExt cx="5943600" cy="6350"/>
                        </a:xfrm>
                      </wpg:grpSpPr>
                      <wps:wsp>
                        <wps:cNvPr id="805" name="Shape 805"/>
                        <wps:cNvSpPr/>
                        <wps:spPr>
                          <a:xfrm>
                            <a:off x="0" y="0"/>
                            <a:ext cx="5943600" cy="0"/>
                          </a:xfrm>
                          <a:custGeom>
                            <a:avLst/>
                            <a:gdLst/>
                            <a:ahLst/>
                            <a:cxnLst/>
                            <a:rect l="0" t="0" r="0" b="0"/>
                            <a:pathLst>
                              <a:path w="5943600">
                                <a:moveTo>
                                  <a:pt x="0" y="0"/>
                                </a:moveTo>
                                <a:lnTo>
                                  <a:pt x="5943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93" style="width:468pt;height:0.5pt;position:absolute;mso-position-horizontal-relative:margin;mso-position-horizontal:absolute;margin-left:0.000991821pt;mso-position-vertical-relative:text;margin-top:41.4099pt;" coordsize="59436,63">
                <v:shape id="Shape 805" style="position:absolute;width:59436;height:0;left:0;top:0;" coordsize="5943600,0" path="m0,0l5943600,0">
                  <v:stroke weight="0.5pt" endcap="flat" joinstyle="miter" miterlimit="4" on="true" color="#181717"/>
                  <v:fill on="false" color="#000000" opacity="0"/>
                </v:shape>
                <w10:wrap type="topAndBottom"/>
              </v:group>
            </w:pict>
          </mc:Fallback>
        </mc:AlternateContent>
      </w:r>
      <w:r>
        <w:rPr>
          <w:rFonts w:ascii="Times New Roman" w:eastAsia="Times New Roman" w:hAnsi="Times New Roman" w:cs="Times New Roman"/>
          <w:color w:val="181717"/>
          <w:sz w:val="14"/>
        </w:rPr>
        <w:t xml:space="preserve">Amir R, Leiba R, Eisenberg E. Anchoring the numeric pain scale changes pain intensity reports in patients with chronic but not with acute pain. </w:t>
      </w:r>
      <w:r>
        <w:rPr>
          <w:rFonts w:ascii="Times New Roman" w:eastAsia="Times New Roman" w:hAnsi="Times New Roman" w:cs="Times New Roman"/>
          <w:i/>
          <w:color w:val="181717"/>
          <w:sz w:val="14"/>
        </w:rPr>
        <w:t xml:space="preserve">Pain </w:t>
      </w:r>
      <w:proofErr w:type="spellStart"/>
      <w:r>
        <w:rPr>
          <w:rFonts w:ascii="Times New Roman" w:eastAsia="Times New Roman" w:hAnsi="Times New Roman" w:cs="Times New Roman"/>
          <w:i/>
          <w:color w:val="181717"/>
          <w:sz w:val="14"/>
        </w:rPr>
        <w:t>Pract</w:t>
      </w:r>
      <w:proofErr w:type="spellEnd"/>
      <w:r>
        <w:rPr>
          <w:rFonts w:ascii="Times New Roman" w:eastAsia="Times New Roman" w:hAnsi="Times New Roman" w:cs="Times New Roman"/>
          <w:color w:val="181717"/>
          <w:sz w:val="14"/>
        </w:rPr>
        <w:t>. 2019;19(3):283-288. doi:10.1111/ papr.12738.</w:t>
      </w:r>
    </w:p>
    <w:p w14:paraId="12B8E298"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 xml:space="preserve">Fink R. Pain assessment: the cornerstone to optimal pain management. </w:t>
      </w:r>
      <w:r>
        <w:rPr>
          <w:rFonts w:ascii="Times New Roman" w:eastAsia="Times New Roman" w:hAnsi="Times New Roman" w:cs="Times New Roman"/>
          <w:i/>
          <w:color w:val="181717"/>
          <w:sz w:val="14"/>
        </w:rPr>
        <w:t>Proc (</w:t>
      </w:r>
      <w:proofErr w:type="spellStart"/>
      <w:r>
        <w:rPr>
          <w:rFonts w:ascii="Times New Roman" w:eastAsia="Times New Roman" w:hAnsi="Times New Roman" w:cs="Times New Roman"/>
          <w:i/>
          <w:color w:val="181717"/>
          <w:sz w:val="14"/>
        </w:rPr>
        <w:t>Bayl</w:t>
      </w:r>
      <w:proofErr w:type="spellEnd"/>
      <w:r>
        <w:rPr>
          <w:rFonts w:ascii="Times New Roman" w:eastAsia="Times New Roman" w:hAnsi="Times New Roman" w:cs="Times New Roman"/>
          <w:i/>
          <w:color w:val="181717"/>
          <w:sz w:val="14"/>
        </w:rPr>
        <w:t xml:space="preserve"> Univ Med Cent)</w:t>
      </w:r>
      <w:r>
        <w:rPr>
          <w:rFonts w:ascii="Times New Roman" w:eastAsia="Times New Roman" w:hAnsi="Times New Roman" w:cs="Times New Roman"/>
          <w:color w:val="181717"/>
          <w:sz w:val="14"/>
        </w:rPr>
        <w:t>. 2000;13(3):236-239. doi:10.1080/08998280 .2000.11927681.</w:t>
      </w:r>
    </w:p>
    <w:p w14:paraId="59D9A674" w14:textId="77777777" w:rsidR="00602C3B" w:rsidRDefault="00000000">
      <w:pPr>
        <w:numPr>
          <w:ilvl w:val="0"/>
          <w:numId w:val="1"/>
        </w:numPr>
        <w:spacing w:after="0" w:line="248" w:lineRule="auto"/>
        <w:ind w:hanging="219"/>
      </w:pPr>
      <w:r>
        <w:rPr>
          <w:rFonts w:ascii="Times New Roman" w:eastAsia="Times New Roman" w:hAnsi="Times New Roman" w:cs="Times New Roman"/>
          <w:color w:val="181717"/>
          <w:sz w:val="14"/>
        </w:rPr>
        <w:t xml:space="preserve">Kwame A, </w:t>
      </w:r>
      <w:proofErr w:type="spellStart"/>
      <w:r>
        <w:rPr>
          <w:rFonts w:ascii="Times New Roman" w:eastAsia="Times New Roman" w:hAnsi="Times New Roman" w:cs="Times New Roman"/>
          <w:color w:val="181717"/>
          <w:sz w:val="14"/>
        </w:rPr>
        <w:t>Petrucka</w:t>
      </w:r>
      <w:proofErr w:type="spellEnd"/>
      <w:r>
        <w:rPr>
          <w:rFonts w:ascii="Times New Roman" w:eastAsia="Times New Roman" w:hAnsi="Times New Roman" w:cs="Times New Roman"/>
          <w:color w:val="181717"/>
          <w:sz w:val="14"/>
        </w:rPr>
        <w:t xml:space="preserve"> PM. A literature-based study of patient-centered care and communication in nurse-patient interactions: barriers, facilitators, and the way forward. </w:t>
      </w:r>
      <w:r>
        <w:rPr>
          <w:rFonts w:ascii="Times New Roman" w:eastAsia="Times New Roman" w:hAnsi="Times New Roman" w:cs="Times New Roman"/>
          <w:i/>
          <w:color w:val="181717"/>
          <w:sz w:val="14"/>
        </w:rPr>
        <w:t xml:space="preserve">BMC </w:t>
      </w:r>
      <w:proofErr w:type="spellStart"/>
      <w:r>
        <w:rPr>
          <w:rFonts w:ascii="Times New Roman" w:eastAsia="Times New Roman" w:hAnsi="Times New Roman" w:cs="Times New Roman"/>
          <w:i/>
          <w:color w:val="181717"/>
          <w:sz w:val="14"/>
        </w:rPr>
        <w:t>Nurs</w:t>
      </w:r>
      <w:proofErr w:type="spellEnd"/>
      <w:r>
        <w:rPr>
          <w:rFonts w:ascii="Times New Roman" w:eastAsia="Times New Roman" w:hAnsi="Times New Roman" w:cs="Times New Roman"/>
          <w:color w:val="181717"/>
          <w:sz w:val="14"/>
        </w:rPr>
        <w:t xml:space="preserve">. 2021;20(1):158. </w:t>
      </w:r>
    </w:p>
    <w:p w14:paraId="0DD39AB1" w14:textId="77777777" w:rsidR="00602C3B" w:rsidRDefault="00000000">
      <w:pPr>
        <w:spacing w:after="29" w:line="248" w:lineRule="auto"/>
        <w:ind w:left="-5" w:hanging="10"/>
      </w:pPr>
      <w:r>
        <w:rPr>
          <w:rFonts w:ascii="Times New Roman" w:eastAsia="Times New Roman" w:hAnsi="Times New Roman" w:cs="Times New Roman"/>
          <w:color w:val="181717"/>
          <w:sz w:val="14"/>
        </w:rPr>
        <w:t>doi:10.1186/s12912-021-00684-2.</w:t>
      </w:r>
    </w:p>
    <w:p w14:paraId="09E23705" w14:textId="77777777" w:rsidR="00602C3B" w:rsidRDefault="00000000">
      <w:pPr>
        <w:numPr>
          <w:ilvl w:val="0"/>
          <w:numId w:val="1"/>
        </w:numPr>
        <w:spacing w:after="29" w:line="248" w:lineRule="auto"/>
        <w:ind w:hanging="219"/>
      </w:pPr>
      <w:r>
        <w:rPr>
          <w:rFonts w:ascii="Times New Roman" w:eastAsia="Times New Roman" w:hAnsi="Times New Roman" w:cs="Times New Roman"/>
          <w:color w:val="181717"/>
          <w:sz w:val="14"/>
        </w:rPr>
        <w:t>YouTube. Patient assessment: old cart. 2019. www.youtube.com/watch?v=sXCQxKGR2ho. Accessed November 23, 2022.</w:t>
      </w:r>
    </w:p>
    <w:p w14:paraId="46656F91" w14:textId="77777777" w:rsidR="00602C3B" w:rsidRDefault="00000000">
      <w:pPr>
        <w:numPr>
          <w:ilvl w:val="0"/>
          <w:numId w:val="1"/>
        </w:numPr>
        <w:spacing w:after="212" w:line="248" w:lineRule="auto"/>
        <w:ind w:hanging="219"/>
      </w:pPr>
      <w:r>
        <w:rPr>
          <w:rFonts w:ascii="Times New Roman" w:eastAsia="Times New Roman" w:hAnsi="Times New Roman" w:cs="Times New Roman"/>
          <w:color w:val="181717"/>
          <w:sz w:val="14"/>
        </w:rPr>
        <w:t>O.L.D.C.A.R.T. Flashcards | Quizlet. Quizlet. https://quizlet.com/121295002/oldcart-flashcards/. Accessed November 23, 2022.</w:t>
      </w:r>
    </w:p>
    <w:p w14:paraId="3C75E2B8" w14:textId="77777777" w:rsidR="00602C3B" w:rsidRDefault="00000000">
      <w:pPr>
        <w:spacing w:after="29"/>
        <w:ind w:right="-48"/>
      </w:pPr>
      <w:r>
        <w:rPr>
          <w:noProof/>
        </w:rPr>
        <mc:AlternateContent>
          <mc:Choice Requires="wpg">
            <w:drawing>
              <wp:inline distT="0" distB="0" distL="0" distR="0" wp14:anchorId="37DFA1B4" wp14:editId="194B4B96">
                <wp:extent cx="1879943" cy="6350"/>
                <wp:effectExtent l="0" t="0" r="0" b="0"/>
                <wp:docPr id="8491" name="Group 8491"/>
                <wp:cNvGraphicFramePr/>
                <a:graphic xmlns:a="http://schemas.openxmlformats.org/drawingml/2006/main">
                  <a:graphicData uri="http://schemas.microsoft.com/office/word/2010/wordprocessingGroup">
                    <wpg:wgp>
                      <wpg:cNvGrpSpPr/>
                      <wpg:grpSpPr>
                        <a:xfrm>
                          <a:off x="0" y="0"/>
                          <a:ext cx="1879943" cy="6350"/>
                          <a:chOff x="0" y="0"/>
                          <a:chExt cx="1879943" cy="6350"/>
                        </a:xfrm>
                      </wpg:grpSpPr>
                      <wps:wsp>
                        <wps:cNvPr id="774" name="Shape 774"/>
                        <wps:cNvSpPr/>
                        <wps:spPr>
                          <a:xfrm>
                            <a:off x="0" y="0"/>
                            <a:ext cx="1879943" cy="0"/>
                          </a:xfrm>
                          <a:custGeom>
                            <a:avLst/>
                            <a:gdLst/>
                            <a:ahLst/>
                            <a:cxnLst/>
                            <a:rect l="0" t="0" r="0" b="0"/>
                            <a:pathLst>
                              <a:path w="1879943">
                                <a:moveTo>
                                  <a:pt x="0" y="0"/>
                                </a:moveTo>
                                <a:lnTo>
                                  <a:pt x="187994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91" style="width:148.027pt;height:0.5pt;mso-position-horizontal-relative:char;mso-position-vertical-relative:line" coordsize="18799,63">
                <v:shape id="Shape 774" style="position:absolute;width:18799;height:0;left:0;top:0;" coordsize="1879943,0" path="m0,0l1879943,0">
                  <v:stroke weight="0.5pt" endcap="flat" joinstyle="miter" miterlimit="10" on="true" color="#181717"/>
                  <v:fill on="false" color="#000000" opacity="0"/>
                </v:shape>
              </v:group>
            </w:pict>
          </mc:Fallback>
        </mc:AlternateContent>
      </w:r>
    </w:p>
    <w:p w14:paraId="11878CE8" w14:textId="77777777" w:rsidR="00602C3B" w:rsidRDefault="00000000">
      <w:pPr>
        <w:spacing w:after="400" w:line="229" w:lineRule="auto"/>
        <w:ind w:left="-5" w:hanging="10"/>
      </w:pPr>
      <w:r>
        <w:rPr>
          <w:color w:val="181717"/>
          <w:sz w:val="12"/>
        </w:rPr>
        <w:t>At Walla Walla University School of Nursing in Portland, Ore., Karen Tetz is a professor of nursing and Susan Schoenbeck is a mentor.</w:t>
      </w:r>
    </w:p>
    <w:p w14:paraId="18354E84" w14:textId="77777777" w:rsidR="00602C3B" w:rsidRDefault="00000000">
      <w:pPr>
        <w:spacing w:after="245" w:line="229" w:lineRule="auto"/>
        <w:ind w:left="-5" w:hanging="10"/>
      </w:pPr>
      <w:r>
        <w:rPr>
          <w:color w:val="181717"/>
          <w:sz w:val="12"/>
        </w:rPr>
        <w:t>The authors have disclosed no financial relationships related to this article.</w:t>
      </w:r>
    </w:p>
    <w:p w14:paraId="5011D433" w14:textId="77777777" w:rsidR="00602C3B" w:rsidRDefault="00000000">
      <w:pPr>
        <w:spacing w:after="29"/>
        <w:ind w:right="-48"/>
      </w:pPr>
      <w:r>
        <w:rPr>
          <w:noProof/>
        </w:rPr>
        <mc:AlternateContent>
          <mc:Choice Requires="wpg">
            <w:drawing>
              <wp:inline distT="0" distB="0" distL="0" distR="0" wp14:anchorId="789F811F" wp14:editId="1A2974FB">
                <wp:extent cx="1879943" cy="6350"/>
                <wp:effectExtent l="0" t="0" r="0" b="0"/>
                <wp:docPr id="8492" name="Group 8492"/>
                <wp:cNvGraphicFramePr/>
                <a:graphic xmlns:a="http://schemas.openxmlformats.org/drawingml/2006/main">
                  <a:graphicData uri="http://schemas.microsoft.com/office/word/2010/wordprocessingGroup">
                    <wpg:wgp>
                      <wpg:cNvGrpSpPr/>
                      <wpg:grpSpPr>
                        <a:xfrm>
                          <a:off x="0" y="0"/>
                          <a:ext cx="1879943" cy="6350"/>
                          <a:chOff x="0" y="0"/>
                          <a:chExt cx="1879943" cy="6350"/>
                        </a:xfrm>
                      </wpg:grpSpPr>
                      <wps:wsp>
                        <wps:cNvPr id="775" name="Shape 775"/>
                        <wps:cNvSpPr/>
                        <wps:spPr>
                          <a:xfrm>
                            <a:off x="0" y="0"/>
                            <a:ext cx="1879943" cy="0"/>
                          </a:xfrm>
                          <a:custGeom>
                            <a:avLst/>
                            <a:gdLst/>
                            <a:ahLst/>
                            <a:cxnLst/>
                            <a:rect l="0" t="0" r="0" b="0"/>
                            <a:pathLst>
                              <a:path w="1879943">
                                <a:moveTo>
                                  <a:pt x="0" y="0"/>
                                </a:moveTo>
                                <a:lnTo>
                                  <a:pt x="187994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92" style="width:148.027pt;height:0.5pt;mso-position-horizontal-relative:char;mso-position-vertical-relative:line" coordsize="18799,63">
                <v:shape id="Shape 775" style="position:absolute;width:18799;height:0;left:0;top:0;" coordsize="1879943,0" path="m0,0l1879943,0">
                  <v:stroke weight="0.5pt" endcap="flat" joinstyle="miter" miterlimit="10" on="true" color="#181717"/>
                  <v:fill on="false" color="#000000" opacity="0"/>
                </v:shape>
              </v:group>
            </w:pict>
          </mc:Fallback>
        </mc:AlternateContent>
      </w:r>
    </w:p>
    <w:p w14:paraId="570695D9" w14:textId="77777777" w:rsidR="00602C3B" w:rsidRDefault="00000000">
      <w:pPr>
        <w:spacing w:after="245" w:line="229" w:lineRule="auto"/>
        <w:ind w:left="-5" w:hanging="10"/>
      </w:pPr>
      <w:r>
        <w:rPr>
          <w:color w:val="181717"/>
          <w:sz w:val="12"/>
        </w:rPr>
        <w:t>DOI-10.1097/01.NURSE.0000905720.83240.9b</w:t>
      </w:r>
    </w:p>
    <w:sectPr w:rsidR="00602C3B">
      <w:type w:val="continuous"/>
      <w:pgSz w:w="11448" w:h="15408"/>
      <w:pgMar w:top="1440" w:right="1090" w:bottom="1440" w:left="1044" w:header="720" w:footer="720" w:gutter="0"/>
      <w:cols w:num="3" w:space="2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876CB" w14:textId="77777777" w:rsidR="00702212" w:rsidRDefault="00702212">
      <w:pPr>
        <w:spacing w:after="0" w:line="240" w:lineRule="auto"/>
      </w:pPr>
      <w:r>
        <w:separator/>
      </w:r>
    </w:p>
  </w:endnote>
  <w:endnote w:type="continuationSeparator" w:id="0">
    <w:p w14:paraId="56134272" w14:textId="77777777" w:rsidR="00702212" w:rsidRDefault="0070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9FA05" w14:textId="77777777" w:rsidR="00602C3B" w:rsidRDefault="00000000">
    <w:pPr>
      <w:tabs>
        <w:tab w:val="right" w:pos="8932"/>
      </w:tabs>
      <w:spacing w:after="184"/>
      <w:ind w:left="-429" w:right="-428"/>
    </w:pPr>
    <w:r>
      <w:fldChar w:fldCharType="begin"/>
    </w:r>
    <w:r>
      <w:instrText xml:space="preserve"> PAGE   \* MERGEFORMAT </w:instrText>
    </w:r>
    <w:r>
      <w:fldChar w:fldCharType="separate"/>
    </w:r>
    <w:r>
      <w:rPr>
        <w:b/>
        <w:color w:val="181717"/>
        <w:sz w:val="20"/>
      </w:rPr>
      <w:t>42</w:t>
    </w:r>
    <w:r>
      <w:rPr>
        <w:b/>
        <w:color w:val="181717"/>
        <w:sz w:val="20"/>
      </w:rPr>
      <w:fldChar w:fldCharType="end"/>
    </w:r>
    <w:r>
      <w:rPr>
        <w:color w:val="181717"/>
        <w:sz w:val="20"/>
      </w:rPr>
      <w:t xml:space="preserve"> l </w:t>
    </w:r>
    <w:r>
      <w:rPr>
        <w:b/>
        <w:color w:val="181717"/>
        <w:sz w:val="20"/>
      </w:rPr>
      <w:t>Nursing2023</w:t>
    </w:r>
    <w:r>
      <w:rPr>
        <w:color w:val="181717"/>
        <w:sz w:val="20"/>
      </w:rPr>
      <w:t xml:space="preserve"> l Volume 53, Number 3</w:t>
    </w:r>
    <w:r>
      <w:rPr>
        <w:color w:val="181717"/>
        <w:sz w:val="14"/>
      </w:rPr>
      <w:t xml:space="preserve"> </w:t>
    </w:r>
    <w:r>
      <w:rPr>
        <w:color w:val="181717"/>
        <w:sz w:val="14"/>
      </w:rPr>
      <w:tab/>
      <w:t>www.Nursing2023.com</w:t>
    </w:r>
  </w:p>
  <w:p w14:paraId="40293F99" w14:textId="77777777" w:rsidR="00602C3B" w:rsidRDefault="00000000">
    <w:pPr>
      <w:spacing w:after="0"/>
      <w:ind w:right="3"/>
      <w:jc w:val="center"/>
    </w:pPr>
    <w:r>
      <w:rPr>
        <w:rFonts w:ascii="Arial" w:eastAsia="Arial" w:hAnsi="Arial" w:cs="Arial"/>
        <w:sz w:val="18"/>
      </w:rPr>
      <w:t>Copyright © 2023 Wolters Kluwer Health,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1E413" w14:textId="77777777" w:rsidR="00602C3B" w:rsidRDefault="00000000">
    <w:pPr>
      <w:spacing w:after="0"/>
      <w:ind w:right="3"/>
      <w:jc w:val="center"/>
    </w:pPr>
    <w:r>
      <w:rPr>
        <w:rFonts w:ascii="Arial" w:eastAsia="Arial" w:hAnsi="Arial" w:cs="Arial"/>
        <w:sz w:val="18"/>
      </w:rPr>
      <w:t>Copyright © 2023 Wolters Kluwer Health,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71DE2" w14:textId="77777777" w:rsidR="00602C3B" w:rsidRDefault="00000000">
    <w:pPr>
      <w:tabs>
        <w:tab w:val="right" w:pos="8932"/>
      </w:tabs>
      <w:spacing w:after="184"/>
      <w:ind w:left="-429" w:right="-428"/>
    </w:pPr>
    <w:r>
      <w:fldChar w:fldCharType="begin"/>
    </w:r>
    <w:r>
      <w:instrText xml:space="preserve"> PAGE   \* MERGEFORMAT </w:instrText>
    </w:r>
    <w:r>
      <w:fldChar w:fldCharType="separate"/>
    </w:r>
    <w:r>
      <w:rPr>
        <w:b/>
        <w:color w:val="181717"/>
        <w:sz w:val="20"/>
      </w:rPr>
      <w:t>42</w:t>
    </w:r>
    <w:r>
      <w:rPr>
        <w:b/>
        <w:color w:val="181717"/>
        <w:sz w:val="20"/>
      </w:rPr>
      <w:fldChar w:fldCharType="end"/>
    </w:r>
    <w:r>
      <w:rPr>
        <w:color w:val="181717"/>
        <w:sz w:val="20"/>
      </w:rPr>
      <w:t xml:space="preserve"> l </w:t>
    </w:r>
    <w:r>
      <w:rPr>
        <w:b/>
        <w:color w:val="181717"/>
        <w:sz w:val="20"/>
      </w:rPr>
      <w:t>Nursing2023</w:t>
    </w:r>
    <w:r>
      <w:rPr>
        <w:color w:val="181717"/>
        <w:sz w:val="20"/>
      </w:rPr>
      <w:t xml:space="preserve"> l Volume 53, Number 3</w:t>
    </w:r>
    <w:r>
      <w:rPr>
        <w:color w:val="181717"/>
        <w:sz w:val="14"/>
      </w:rPr>
      <w:t xml:space="preserve"> </w:t>
    </w:r>
    <w:r>
      <w:rPr>
        <w:color w:val="181717"/>
        <w:sz w:val="14"/>
      </w:rPr>
      <w:tab/>
      <w:t>www.Nursing2023.com</w:t>
    </w:r>
  </w:p>
  <w:p w14:paraId="381252A0" w14:textId="77777777" w:rsidR="00602C3B" w:rsidRDefault="00000000">
    <w:pPr>
      <w:spacing w:after="0"/>
      <w:ind w:right="3"/>
      <w:jc w:val="center"/>
    </w:pPr>
    <w:r>
      <w:rPr>
        <w:rFonts w:ascii="Arial" w:eastAsia="Arial" w:hAnsi="Arial" w:cs="Arial"/>
        <w:sz w:val="18"/>
      </w:rPr>
      <w:t>Copyright © 2023 Wolters Kluwer Health,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11B0D" w14:textId="77777777" w:rsidR="00702212" w:rsidRDefault="00702212">
      <w:pPr>
        <w:spacing w:after="0" w:line="240" w:lineRule="auto"/>
      </w:pPr>
      <w:r>
        <w:separator/>
      </w:r>
    </w:p>
  </w:footnote>
  <w:footnote w:type="continuationSeparator" w:id="0">
    <w:p w14:paraId="1B15A884" w14:textId="77777777" w:rsidR="00702212" w:rsidRDefault="00702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2E66C0"/>
    <w:multiLevelType w:val="hybridMultilevel"/>
    <w:tmpl w:val="3BD4BAC0"/>
    <w:lvl w:ilvl="0" w:tplc="D64CC9AA">
      <w:start w:val="1"/>
      <w:numFmt w:val="bullet"/>
      <w:lvlText w:val="•"/>
      <w:lvlJc w:val="left"/>
      <w:pPr>
        <w:ind w:left="152"/>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03181E3E">
      <w:start w:val="1"/>
      <w:numFmt w:val="bullet"/>
      <w:lvlText w:val="o"/>
      <w:lvlJc w:val="left"/>
      <w:pPr>
        <w:ind w:left="1200"/>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2" w:tplc="B1883DDA">
      <w:start w:val="1"/>
      <w:numFmt w:val="bullet"/>
      <w:lvlText w:val="▪"/>
      <w:lvlJc w:val="left"/>
      <w:pPr>
        <w:ind w:left="1920"/>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3" w:tplc="21AE963A">
      <w:start w:val="1"/>
      <w:numFmt w:val="bullet"/>
      <w:lvlText w:val="•"/>
      <w:lvlJc w:val="left"/>
      <w:pPr>
        <w:ind w:left="26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A17A4BFC">
      <w:start w:val="1"/>
      <w:numFmt w:val="bullet"/>
      <w:lvlText w:val="o"/>
      <w:lvlJc w:val="left"/>
      <w:pPr>
        <w:ind w:left="3360"/>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5" w:tplc="5C860A90">
      <w:start w:val="1"/>
      <w:numFmt w:val="bullet"/>
      <w:lvlText w:val="▪"/>
      <w:lvlJc w:val="left"/>
      <w:pPr>
        <w:ind w:left="4080"/>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6" w:tplc="85EE7B98">
      <w:start w:val="1"/>
      <w:numFmt w:val="bullet"/>
      <w:lvlText w:val="•"/>
      <w:lvlJc w:val="left"/>
      <w:pPr>
        <w:ind w:left="4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F6DC0AF0">
      <w:start w:val="1"/>
      <w:numFmt w:val="bullet"/>
      <w:lvlText w:val="o"/>
      <w:lvlJc w:val="left"/>
      <w:pPr>
        <w:ind w:left="5520"/>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8" w:tplc="15384E52">
      <w:start w:val="1"/>
      <w:numFmt w:val="bullet"/>
      <w:lvlText w:val="▪"/>
      <w:lvlJc w:val="left"/>
      <w:pPr>
        <w:ind w:left="6240"/>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abstractNum>
  <w:abstractNum w:abstractNumId="1" w15:restartNumberingAfterBreak="0">
    <w:nsid w:val="27C31265"/>
    <w:multiLevelType w:val="hybridMultilevel"/>
    <w:tmpl w:val="A776F3FC"/>
    <w:lvl w:ilvl="0" w:tplc="B6440360">
      <w:start w:val="1"/>
      <w:numFmt w:val="decimal"/>
      <w:lvlText w:val="%1."/>
      <w:lvlJc w:val="left"/>
      <w:pPr>
        <w:ind w:left="219"/>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F580E7EA">
      <w:start w:val="1"/>
      <w:numFmt w:val="lowerLetter"/>
      <w:lvlText w:val="%2"/>
      <w:lvlJc w:val="left"/>
      <w:pPr>
        <w:ind w:left="10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8C2C0FB8">
      <w:start w:val="1"/>
      <w:numFmt w:val="lowerRoman"/>
      <w:lvlText w:val="%3"/>
      <w:lvlJc w:val="left"/>
      <w:pPr>
        <w:ind w:left="18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665A1BC4">
      <w:start w:val="1"/>
      <w:numFmt w:val="decimal"/>
      <w:lvlText w:val="%4"/>
      <w:lvlJc w:val="left"/>
      <w:pPr>
        <w:ind w:left="25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89CE28F0">
      <w:start w:val="1"/>
      <w:numFmt w:val="lowerLetter"/>
      <w:lvlText w:val="%5"/>
      <w:lvlJc w:val="left"/>
      <w:pPr>
        <w:ind w:left="3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D6841080">
      <w:start w:val="1"/>
      <w:numFmt w:val="lowerRoman"/>
      <w:lvlText w:val="%6"/>
      <w:lvlJc w:val="left"/>
      <w:pPr>
        <w:ind w:left="39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426C73F6">
      <w:start w:val="1"/>
      <w:numFmt w:val="decimal"/>
      <w:lvlText w:val="%7"/>
      <w:lvlJc w:val="left"/>
      <w:pPr>
        <w:ind w:left="46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09820D80">
      <w:start w:val="1"/>
      <w:numFmt w:val="lowerLetter"/>
      <w:lvlText w:val="%8"/>
      <w:lvlJc w:val="left"/>
      <w:pPr>
        <w:ind w:left="54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3A460232">
      <w:start w:val="1"/>
      <w:numFmt w:val="lowerRoman"/>
      <w:lvlText w:val="%9"/>
      <w:lvlJc w:val="left"/>
      <w:pPr>
        <w:ind w:left="61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2" w15:restartNumberingAfterBreak="0">
    <w:nsid w:val="5C8C2C7D"/>
    <w:multiLevelType w:val="hybridMultilevel"/>
    <w:tmpl w:val="E78453C0"/>
    <w:lvl w:ilvl="0" w:tplc="4F3C3916">
      <w:start w:val="1"/>
      <w:numFmt w:val="bullet"/>
      <w:lvlText w:val="•"/>
      <w:lvlJc w:val="left"/>
      <w:pPr>
        <w:ind w:left="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7AF4518E">
      <w:start w:val="1"/>
      <w:numFmt w:val="bullet"/>
      <w:lvlText w:val="o"/>
      <w:lvlJc w:val="left"/>
      <w:pPr>
        <w:ind w:left="1359"/>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2" w:tplc="17E8A49A">
      <w:start w:val="1"/>
      <w:numFmt w:val="bullet"/>
      <w:lvlText w:val="▪"/>
      <w:lvlJc w:val="left"/>
      <w:pPr>
        <w:ind w:left="2079"/>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3" w:tplc="191C9590">
      <w:start w:val="1"/>
      <w:numFmt w:val="bullet"/>
      <w:lvlText w:val="•"/>
      <w:lvlJc w:val="left"/>
      <w:pPr>
        <w:ind w:left="2799"/>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4E848514">
      <w:start w:val="1"/>
      <w:numFmt w:val="bullet"/>
      <w:lvlText w:val="o"/>
      <w:lvlJc w:val="left"/>
      <w:pPr>
        <w:ind w:left="3519"/>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5" w:tplc="C0A02E1C">
      <w:start w:val="1"/>
      <w:numFmt w:val="bullet"/>
      <w:lvlText w:val="▪"/>
      <w:lvlJc w:val="left"/>
      <w:pPr>
        <w:ind w:left="4239"/>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6" w:tplc="55CA8CD2">
      <w:start w:val="1"/>
      <w:numFmt w:val="bullet"/>
      <w:lvlText w:val="•"/>
      <w:lvlJc w:val="left"/>
      <w:pPr>
        <w:ind w:left="4959"/>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B8A07896">
      <w:start w:val="1"/>
      <w:numFmt w:val="bullet"/>
      <w:lvlText w:val="o"/>
      <w:lvlJc w:val="left"/>
      <w:pPr>
        <w:ind w:left="5679"/>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lvl w:ilvl="8" w:tplc="B39AB600">
      <w:start w:val="1"/>
      <w:numFmt w:val="bullet"/>
      <w:lvlText w:val="▪"/>
      <w:lvlJc w:val="left"/>
      <w:pPr>
        <w:ind w:left="6399"/>
      </w:pPr>
      <w:rPr>
        <w:rFonts w:ascii="Segoe UI Symbol" w:eastAsia="Segoe UI Symbol" w:hAnsi="Segoe UI Symbol" w:cs="Segoe UI Symbol"/>
        <w:b w:val="0"/>
        <w:i w:val="0"/>
        <w:strike w:val="0"/>
        <w:dstrike w:val="0"/>
        <w:color w:val="181717"/>
        <w:sz w:val="16"/>
        <w:szCs w:val="16"/>
        <w:u w:val="none" w:color="000000"/>
        <w:bdr w:val="none" w:sz="0" w:space="0" w:color="auto"/>
        <w:shd w:val="clear" w:color="auto" w:fill="auto"/>
        <w:vertAlign w:val="baseline"/>
      </w:rPr>
    </w:lvl>
  </w:abstractNum>
  <w:num w:numId="1" w16cid:durableId="476075815">
    <w:abstractNumId w:val="1"/>
  </w:num>
  <w:num w:numId="2" w16cid:durableId="1083911274">
    <w:abstractNumId w:val="0"/>
  </w:num>
  <w:num w:numId="3" w16cid:durableId="1592012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C3B"/>
    <w:rsid w:val="001A4637"/>
    <w:rsid w:val="00602C3B"/>
    <w:rsid w:val="00702212"/>
    <w:rsid w:val="00950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42E42"/>
  <w15:docId w15:val="{40007B76-C202-48BE-85D1-7821F4C0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hd w:val="clear" w:color="auto" w:fill="E6E6E9"/>
      <w:spacing w:after="47" w:line="216" w:lineRule="auto"/>
      <w:ind w:left="10" w:hanging="10"/>
      <w:outlineLvl w:val="0"/>
    </w:pPr>
    <w:rPr>
      <w:rFonts w:ascii="Calibri" w:eastAsia="Calibri" w:hAnsi="Calibri" w:cs="Calibri"/>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3159</Words>
  <Characters>18008</Characters>
  <Application>Microsoft Office Word</Application>
  <DocSecurity>0</DocSecurity>
  <Lines>150</Lines>
  <Paragraphs>42</Paragraphs>
  <ScaleCrop>false</ScaleCrop>
  <Company/>
  <LinksUpToDate>false</LinksUpToDate>
  <CharactersWithSpaces>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NSG0323_Cover_Dharam.indd</dc:title>
  <dc:subject/>
  <dc:creator>Magazine</dc:creator>
  <cp:keywords/>
  <cp:lastModifiedBy>David Leonard</cp:lastModifiedBy>
  <cp:revision>2</cp:revision>
  <dcterms:created xsi:type="dcterms:W3CDTF">2024-11-12T17:47:00Z</dcterms:created>
  <dcterms:modified xsi:type="dcterms:W3CDTF">2024-11-12T17:47:00Z</dcterms:modified>
</cp:coreProperties>
</file>